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Jameson Jeremy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NETWORK CENTRE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Midland States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MSBI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EVP - Chief Credit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20" w:type="dxa"/>
            <w:vAlign w:val="bottom"/>
            <w:tcBorders>
              <w:bottom w:val="single" w:sz="8" w:color="9A9A9A"/>
            </w:tcBorders>
          </w:tcPr>
          <w:p>
            <w:pPr>
              <w:spacing w:after="0"/>
              <w:rPr>
                <w:sz w:val="3"/>
                <w:szCs w:val="3"/>
                <w:color w:val="auto"/>
              </w:rPr>
            </w:pPr>
          </w:p>
        </w:tc>
        <w:tc>
          <w:tcPr>
            <w:tcW w:w="172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7"/>
                <w:szCs w:val="17"/>
                <w:color w:val="0000FF"/>
              </w:rPr>
              <w:t>EFFINGHAM   IL</w:t>
            </w:r>
          </w:p>
        </w:tc>
        <w:tc>
          <w:tcPr>
            <w:tcW w:w="172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62401</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63,213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acquired by the reporting person through contributions to the Employee Stock Purchase Plan of the Issuer (ESPP). for the calendar quarter. Pursuant to the ESPP, the price used for each quarterly purchase is the lower of 90% of the fair market of the Issuers shares on the first day of the calendar quarter or the closing price of the shares on the last day of the quarter.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/s/Jeremy Andrew Jameson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247"/>
        </w:trPr>
        <w:tc>
          <w:tcPr>
            <w:tcW w:w="2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/s/Nathan D. Sturycz,</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tabs>
          <w:tab w:leader="none" w:pos="1960" w:val="left"/>
        </w:tabs>
        <w:rPr>
          <w:sz w:val="20"/>
          <w:szCs w:val="20"/>
          <w:color w:val="auto"/>
        </w:rPr>
      </w:pPr>
      <w:r>
        <w:rPr>
          <w:rFonts w:ascii="Courier New" w:cs="Courier New" w:eastAsia="Courier New" w:hAnsi="Courier New"/>
          <w:sz w:val="17"/>
          <w:szCs w:val="17"/>
          <w:color w:val="auto"/>
        </w:rPr>
        <w:t>POWER OF ATTORNEY</w:t>
        <w:tab/>
        <w:t>SECTION 16 FILINGS</w:t>
      </w:r>
    </w:p>
    <w:p>
      <w:pPr>
        <w:spacing w:after="0" w:line="39"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Nathan D. Sturycz, Stephanie Gurgel and their designees with full power and authority to act alone, as the undersigneds true and lawful attorney-in-fact to:</w:t>
      </w:r>
    </w:p>
    <w:p>
      <w:pPr>
        <w:ind w:right="20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for and on behalf of the undersigned, and submit to the United States Securities and Exchange Commission (the Commission) a Form ID, including amendments thereto, and any other documents necessary or appropriate to obtain codes and passwords enabling the undersigned to make electronic filings with the Commission of reports required by Section 16(a) of the Securities Exchange Act of 1934, as amended (the Exchange Act), or any rule or regulation of the Commission;</w:t>
      </w: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account administrator and to manage the undersigneds EDGAR</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w:t>
      </w:r>
    </w:p>
    <w:p>
      <w:pPr>
        <w:spacing w:after="0" w:line="7" w:lineRule="exact"/>
        <w:rPr>
          <w:rFonts w:ascii="Courier New" w:cs="Courier New" w:eastAsia="Courier New" w:hAnsi="Courier New"/>
          <w:sz w:val="17"/>
          <w:szCs w:val="17"/>
          <w:color w:val="auto"/>
        </w:rPr>
      </w:pPr>
    </w:p>
    <w:p>
      <w:pPr>
        <w:ind w:right="21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Midland States Bancorp, Inc. (the Company), Forms 3, 4 and 5 in accordance with Section 16(a) of the Exchange Act and the rules thereunder, or Forms 144 pursuant to the Exchange Act;</w:t>
      </w:r>
    </w:p>
    <w:p>
      <w:pPr>
        <w:ind w:right="20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maybe necessary or desirable to complete and execute any such Form 3, 4, 5, or Form 144 including any amendment or amendments thereto and file such form with the Commission and the applicable stock exchange or similar authority;</w:t>
      </w:r>
    </w:p>
    <w:p>
      <w:pPr>
        <w:ind w:right="2199" w:firstLine="7"/>
        <w:spacing w:after="0" w:line="249" w:lineRule="auto"/>
        <w:tabs>
          <w:tab w:leader="none" w:pos="93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undersigneds attorney-in-fact appointed by this Power of Attorney and approves and ratifies any such release of information; and</w:t>
      </w:r>
    </w:p>
    <w:p>
      <w:pPr>
        <w:ind w:right="21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his or her discretion.</w:t>
      </w:r>
    </w:p>
    <w:p>
      <w:pPr>
        <w:ind w:right="21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attorney-in-fact, or the substitute or substitutes of any of such attorney-in-fact,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Exchange Act.</w:t>
      </w:r>
    </w:p>
    <w:p>
      <w:pPr>
        <w:spacing w:after="0" w:line="1" w:lineRule="exact"/>
        <w:rPr>
          <w:rFonts w:ascii="Courier New" w:cs="Courier New" w:eastAsia="Courier New" w:hAnsi="Courier New"/>
          <w:sz w:val="17"/>
          <w:szCs w:val="17"/>
          <w:color w:val="auto"/>
        </w:rPr>
      </w:pPr>
    </w:p>
    <w:p>
      <w:pPr>
        <w:ind w:right="22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ind w:right="219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agrees to hold the attorney-in-fact, or either one of them, jointly and severally, free and harmless from any and all loss, damage or liability that they, or either one of them, may sustain as a result of any action taken in good faith hereunder and not due to the attorney-in-facts own negligence, misconduct or bad faith.</w:t>
      </w:r>
    </w:p>
    <w:p>
      <w:pPr>
        <w:spacing w:after="0" w:line="84"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August, 2025.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Jeremy Jameson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3171" TargetMode="External"/><Relationship Id="rId14" Type="http://schemas.openxmlformats.org/officeDocument/2006/relationships/hyperlink" Target="http://www.sec.gov/cgi-bin/browse-edgar?action=getcompany&amp;CIK=00014660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2026-07-02T08:38:14Z</dcterms:created>
  <dcterms:modified xsi:type="dcterms:W3CDTF">2026-07-02T08:38:14Z</dcterms:modified>
</cp:coreProperties>
</file>