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Jameson Jeremy Andrew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1201 NETWORK CENTRE DR.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Midland States Bancorp,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MSBI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05/05/2026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45"/>
        <w:spacing w:after="0"/>
        <w:rPr>
          <w:sz w:val="20"/>
          <w:szCs w:val="20"/>
          <w:color w:val="auto"/>
        </w:rPr>
      </w:pPr>
      <w:r>
        <w:rPr>
          <w:rFonts w:ascii="Times New Roman" w:cs="Times New Roman" w:eastAsia="Times New Roman" w:hAnsi="Times New Roman"/>
          <w:sz w:val="17"/>
          <w:szCs w:val="17"/>
          <w:color w:val="0000FF"/>
        </w:rPr>
        <w:t>EVP - Chief Credit Officer</w:t>
      </w:r>
    </w:p>
    <w:p>
      <w:pPr>
        <w:spacing w:after="0" w:line="333" w:lineRule="exact"/>
        <w:rPr>
          <w:sz w:val="24"/>
          <w:szCs w:val="24"/>
          <w:color w:val="auto"/>
        </w:rPr>
      </w:pPr>
    </w:p>
    <w:p>
      <w:pPr>
        <w:sectPr>
          <w:pgSz w:w="11900" w:h="16838" w:orient="portrait"/>
          <w:cols w:equalWidth="0" w:num="3">
            <w:col w:w="3200" w:space="720"/>
            <w:col w:w="3200" w:space="615"/>
            <w:col w:w="3345"/>
          </w:cols>
          <w:pgMar w:left="460" w:top="219" w:right="359" w:bottom="1440" w:gutter="0" w:footer="0" w:header="0"/>
          <w:type w:val="continuous"/>
        </w:sectPr>
      </w:pPr>
    </w:p>
    <w:p>
      <w:pPr>
        <w:spacing w:after="0" w:line="3" w:lineRule="exact"/>
        <w:rPr>
          <w:sz w:val="24"/>
          <w:szCs w:val="24"/>
          <w:color w:val="auto"/>
        </w:rPr>
      </w:pPr>
    </w:p>
    <w:tbl>
      <w:tblPr>
        <w:tblLayout w:type="fixed"/>
        <w:tblInd w:w="80" w:type="dxa"/>
        <w:tblCellMar>
          <w:top w:w="0" w:type="dxa"/>
          <w:left w:w="0" w:type="dxa"/>
          <w:bottom w:w="0" w:type="dxa"/>
          <w:right w:w="0" w:type="dxa"/>
        </w:tblCellMar>
      </w:tblPr>
      <w:tr>
        <w:trPr>
          <w:trHeight w:val="36"/>
        </w:trPr>
        <w:tc>
          <w:tcPr>
            <w:tcW w:w="40" w:type="dxa"/>
            <w:vAlign w:val="bottom"/>
          </w:tcPr>
          <w:p>
            <w:pPr>
              <w:spacing w:after="0"/>
              <w:rPr>
                <w:sz w:val="3"/>
                <w:szCs w:val="3"/>
                <w:color w:val="auto"/>
              </w:rPr>
            </w:pPr>
          </w:p>
        </w:tc>
        <w:tc>
          <w:tcPr>
            <w:tcW w:w="1920" w:type="dxa"/>
            <w:vAlign w:val="bottom"/>
            <w:tcBorders>
              <w:bottom w:val="single" w:sz="8" w:color="9A9A9A"/>
            </w:tcBorders>
          </w:tcPr>
          <w:p>
            <w:pPr>
              <w:spacing w:after="0"/>
              <w:rPr>
                <w:sz w:val="3"/>
                <w:szCs w:val="3"/>
                <w:color w:val="auto"/>
              </w:rPr>
            </w:pPr>
          </w:p>
        </w:tc>
        <w:tc>
          <w:tcPr>
            <w:tcW w:w="1720" w:type="dxa"/>
            <w:vAlign w:val="bottom"/>
            <w:tcBorders>
              <w:bottom w:val="single" w:sz="8" w:color="9A9A9A"/>
            </w:tcBorders>
          </w:tcPr>
          <w:p>
            <w:pPr>
              <w:spacing w:after="0"/>
              <w:rPr>
                <w:sz w:val="3"/>
                <w:szCs w:val="3"/>
                <w:color w:val="auto"/>
              </w:rPr>
            </w:pPr>
          </w:p>
        </w:tc>
        <w:tc>
          <w:tcPr>
            <w:tcW w:w="3760" w:type="dxa"/>
            <w:vAlign w:val="bottom"/>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3760" w:type="dxa"/>
            <w:vAlign w:val="bottom"/>
            <w:vMerge w:val="continue"/>
          </w:tcPr>
          <w:p>
            <w:pPr>
              <w:spacing w:after="0"/>
              <w:rPr>
                <w:sz w:val="8"/>
                <w:szCs w:val="8"/>
                <w:color w:val="auto"/>
              </w:rPr>
            </w:pP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7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7"/>
                <w:szCs w:val="17"/>
                <w:color w:val="0000FF"/>
              </w:rPr>
              <w:t>EFFINGHAM   IL</w:t>
            </w:r>
          </w:p>
        </w:tc>
        <w:tc>
          <w:tcPr>
            <w:tcW w:w="1720" w:type="dxa"/>
            <w:vAlign w:val="bottom"/>
          </w:tcPr>
          <w:p>
            <w:pPr>
              <w:jc w:val="right"/>
              <w:ind w:right="673"/>
              <w:spacing w:after="0"/>
              <w:rPr>
                <w:sz w:val="20"/>
                <w:szCs w:val="20"/>
                <w:color w:val="auto"/>
              </w:rPr>
            </w:pPr>
            <w:r>
              <w:rPr>
                <w:rFonts w:ascii="Times New Roman" w:cs="Times New Roman" w:eastAsia="Times New Roman" w:hAnsi="Times New Roman"/>
                <w:sz w:val="17"/>
                <w:szCs w:val="17"/>
                <w:color w:val="0000FF"/>
              </w:rPr>
              <w:t>62401</w:t>
            </w:r>
          </w:p>
        </w:tc>
        <w:tc>
          <w:tcPr>
            <w:tcW w:w="3760" w:type="dxa"/>
            <w:vAlign w:val="bottom"/>
          </w:tcPr>
          <w:p>
            <w:pPr>
              <w:spacing w:after="0"/>
              <w:rPr>
                <w:sz w:val="20"/>
                <w:szCs w:val="20"/>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920" w:type="dxa"/>
            <w:vAlign w:val="bottom"/>
            <w:tcBorders>
              <w:bottom w:val="single" w:sz="8" w:color="9A9A9A"/>
            </w:tcBorders>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c>
          <w:tcPr>
            <w:tcW w:w="3760" w:type="dxa"/>
            <w:vAlign w:val="bottom"/>
          </w:tcPr>
          <w:p>
            <w:pPr>
              <w:spacing w:after="0"/>
              <w:rPr>
                <w:sz w:val="13"/>
                <w:szCs w:val="13"/>
                <w:color w:val="auto"/>
              </w:rPr>
            </w:pPr>
          </w:p>
        </w:tc>
        <w:tc>
          <w:tcPr>
            <w:tcW w:w="3280" w:type="dxa"/>
            <w:vAlign w:val="bottom"/>
          </w:tcPr>
          <w:p>
            <w:pPr>
              <w:ind w:left="7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80" w:type="dxa"/>
            <w:vAlign w:val="bottom"/>
          </w:tcPr>
          <w:p>
            <w:pPr>
              <w:ind w:left="740"/>
              <w:spacing w:after="0" w:line="146"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bl>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3"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8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0000FF"/>
              </w:rPr>
              <w:t>05/05/2026</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1,982</w:t>
            </w:r>
          </w:p>
        </w:tc>
        <w:tc>
          <w:tcPr>
            <w:tcW w:w="4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3"/>
                <w:szCs w:val="23"/>
                <w:color w:val="auto"/>
              </w:rPr>
            </w:pPr>
          </w:p>
        </w:tc>
        <w:tc>
          <w:tcPr>
            <w:tcW w:w="560" w:type="dxa"/>
            <w:vAlign w:val="bottom"/>
            <w:gridSpan w:val="4"/>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27.08</w:t>
            </w:r>
          </w:p>
        </w:tc>
        <w:tc>
          <w:tcPr>
            <w:tcW w:w="40" w:type="dxa"/>
            <w:vAlign w:val="bottom"/>
          </w:tcPr>
          <w:p>
            <w:pPr>
              <w:spacing w:after="0"/>
              <w:rPr>
                <w:sz w:val="23"/>
                <w:szCs w:val="23"/>
                <w:color w:val="auto"/>
              </w:rPr>
            </w:pPr>
          </w:p>
        </w:tc>
        <w:tc>
          <w:tcPr>
            <w:tcW w:w="1200" w:type="dxa"/>
            <w:vAlign w:val="bottom"/>
            <w:gridSpan w:val="4"/>
          </w:tcPr>
          <w:p>
            <w:pPr>
              <w:ind w:left="340"/>
              <w:spacing w:after="0"/>
              <w:rPr>
                <w:sz w:val="20"/>
                <w:szCs w:val="20"/>
                <w:color w:val="auto"/>
              </w:rPr>
            </w:pPr>
            <w:r>
              <w:rPr>
                <w:rFonts w:ascii="Times New Roman" w:cs="Times New Roman" w:eastAsia="Times New Roman" w:hAnsi="Times New Roman"/>
                <w:sz w:val="17"/>
                <w:szCs w:val="17"/>
                <w:color w:val="0000FF"/>
              </w:rPr>
              <w:t>63,212</w:t>
            </w:r>
          </w:p>
        </w:tc>
        <w:tc>
          <w:tcPr>
            <w:tcW w:w="260" w:type="dxa"/>
            <w:vAlign w:val="bottom"/>
          </w:tcPr>
          <w:p>
            <w:pPr>
              <w:spacing w:after="0"/>
              <w:rPr>
                <w:sz w:val="23"/>
                <w:szCs w:val="23"/>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5040" w:type="dxa"/>
            <w:vAlign w:val="bottom"/>
            <w:tcBorders>
              <w:bottom w:val="single" w:sz="8" w:color="2C2C2C"/>
            </w:tcBorders>
            <w:gridSpan w:val="7"/>
          </w:tcPr>
          <w:p>
            <w:pPr>
              <w:spacing w:after="0"/>
              <w:rPr>
                <w:sz w:val="8"/>
                <w:szCs w:val="8"/>
                <w:color w:val="auto"/>
              </w:rPr>
            </w:pPr>
          </w:p>
        </w:tc>
        <w:tc>
          <w:tcPr>
            <w:tcW w:w="1080" w:type="dxa"/>
            <w:vAlign w:val="bottom"/>
            <w:tcBorders>
              <w:bottom w:val="single" w:sz="8" w:color="2C2C2C"/>
            </w:tcBorders>
            <w:gridSpan w:val="4"/>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gridSpan w:val="2"/>
          </w:tcPr>
          <w:p>
            <w:pPr>
              <w:spacing w:after="0"/>
              <w:rPr>
                <w:sz w:val="8"/>
                <w:szCs w:val="8"/>
                <w:color w:val="auto"/>
              </w:rPr>
            </w:pPr>
          </w:p>
        </w:tc>
        <w:tc>
          <w:tcPr>
            <w:tcW w:w="420" w:type="dxa"/>
            <w:vAlign w:val="bottom"/>
            <w:tcBorders>
              <w:bottom w:val="single" w:sz="8" w:color="2C2C2C"/>
            </w:tcBorders>
            <w:gridSpan w:val="2"/>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9"/>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4"/>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4"/>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gridSpan w:val="3"/>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20" w:type="dxa"/>
            <w:vAlign w:val="bottom"/>
            <w:gridSpan w:val="2"/>
          </w:tcPr>
          <w:p>
            <w:pPr>
              <w:ind w:left="20"/>
              <w:spacing w:after="0"/>
              <w:rPr>
                <w:sz w:val="20"/>
                <w:szCs w:val="20"/>
                <w:color w:val="auto"/>
              </w:rPr>
            </w:pPr>
            <w:r>
              <w:rPr>
                <w:rFonts w:ascii="Arial" w:cs="Arial" w:eastAsia="Arial" w:hAnsi="Arial"/>
                <w:sz w:val="17"/>
                <w:szCs w:val="17"/>
                <w:b w:val="1"/>
                <w:bCs w:val="1"/>
                <w:color w:val="auto"/>
              </w:rPr>
              <w:t>Remarks:</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2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7"/>
                <w:szCs w:val="17"/>
                <w:color w:val="0000FF"/>
              </w:rPr>
              <w:t>/s/Jeremy Andrew Jameson</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05/06/2026</w:t>
            </w: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/s/Nathan D. Sturycz,</w:t>
            </w: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80" w:type="dxa"/>
            <w:vAlign w:val="bottom"/>
            <w:gridSpan w:val="4"/>
            <w:vMerge w:val="restart"/>
          </w:tcPr>
          <w:p>
            <w:pPr>
              <w:ind w:left="200"/>
              <w:spacing w:after="0"/>
              <w:rPr>
                <w:sz w:val="20"/>
                <w:szCs w:val="20"/>
                <w:color w:val="auto"/>
              </w:rPr>
            </w:pPr>
            <w:r>
              <w:rPr>
                <w:rFonts w:ascii="Times New Roman" w:cs="Times New Roman" w:eastAsia="Times New Roman" w:hAnsi="Times New Roman"/>
                <w:sz w:val="17"/>
                <w:szCs w:val="17"/>
                <w:color w:val="0000FF"/>
              </w:rPr>
              <w:t>05/06/2026</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360" w:type="dxa"/>
            <w:vAlign w:val="bottom"/>
            <w:tcBorders>
              <w:top w:val="single" w:sz="8" w:color="auto"/>
            </w:tcBorders>
            <w:gridSpan w:val="6"/>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14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80" w:type="dxa"/>
            <w:vAlign w:val="bottom"/>
            <w:gridSpan w:val="4"/>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360" w:type="dxa"/>
            <w:vAlign w:val="bottom"/>
            <w:tcBorders>
              <w:top w:val="single" w:sz="8" w:color="auto"/>
            </w:tcBorders>
            <w:gridSpan w:val="6"/>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gridSpan w:val="4"/>
            <w:shd w:val="clear" w:color="auto" w:fill="000000"/>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0" w:type="dxa"/>
            <w:vAlign w:val="bottom"/>
            <w:gridSpan w:val="10"/>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gridSpan w:val="2"/>
          </w:tcPr>
          <w:p>
            <w:pPr>
              <w:ind w:left="200"/>
              <w:spacing w:after="0"/>
              <w:rPr>
                <w:sz w:val="20"/>
                <w:szCs w:val="20"/>
                <w:color w:val="auto"/>
              </w:rPr>
            </w:pPr>
            <w:r>
              <w:rPr>
                <w:rFonts w:ascii="Arial" w:cs="Arial" w:eastAsia="Arial" w:hAnsi="Arial"/>
                <w:sz w:val="13"/>
                <w:szCs w:val="13"/>
                <w:color w:val="auto"/>
              </w:rPr>
              <w:t>Date</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-2738120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tabs>
          <w:tab w:leader="none" w:pos="1960" w:val="left"/>
        </w:tabs>
        <w:rPr>
          <w:sz w:val="20"/>
          <w:szCs w:val="20"/>
          <w:color w:val="auto"/>
        </w:rPr>
      </w:pPr>
      <w:r>
        <w:rPr>
          <w:rFonts w:ascii="Courier New" w:cs="Courier New" w:eastAsia="Courier New" w:hAnsi="Courier New"/>
          <w:sz w:val="17"/>
          <w:szCs w:val="17"/>
          <w:color w:val="auto"/>
        </w:rPr>
        <w:t>POWER OF ATTORNEY</w:t>
        <w:tab/>
        <w:t>SECTION 16 FILINGS</w:t>
      </w:r>
    </w:p>
    <w:p>
      <w:pPr>
        <w:spacing w:after="0" w:line="39"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Nathan D. Sturycz, Stephanie Gurgel and their designees with full power and authority to act alone, as the undersigneds true and lawful attorney-in-fact to:</w:t>
      </w:r>
    </w:p>
    <w:p>
      <w:pPr>
        <w:ind w:right="2099" w:firstLine="7"/>
        <w:spacing w:after="0" w:line="249"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for and on behalf of the undersigned, and submit to the United States Securities and Exchange Commission (the Commission) a Form ID, including amendments thereto, and any other documents necessary or appropriate to obtain codes and passwords enabling the undersigned to make electronic filings with the Commission of reports required by Section 16(a) of the Securities Exchange Act of 1934, as amended (the Exchange Act), or any rule or regulation of the Commission;</w:t>
      </w:r>
    </w:p>
    <w:p>
      <w:pPr>
        <w:ind w:left="840" w:hanging="833"/>
        <w:spacing w:after="0"/>
        <w:tabs>
          <w:tab w:leader="none" w:pos="8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act as account administrator and to manage the undersigneds EDGAR</w:t>
      </w:r>
    </w:p>
    <w:p>
      <w:pPr>
        <w:spacing w:after="0" w:line="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account;</w:t>
      </w:r>
    </w:p>
    <w:p>
      <w:pPr>
        <w:spacing w:after="0" w:line="7" w:lineRule="exact"/>
        <w:rPr>
          <w:rFonts w:ascii="Courier New" w:cs="Courier New" w:eastAsia="Courier New" w:hAnsi="Courier New"/>
          <w:sz w:val="17"/>
          <w:szCs w:val="17"/>
          <w:color w:val="auto"/>
        </w:rPr>
      </w:pPr>
    </w:p>
    <w:p>
      <w:pPr>
        <w:ind w:right="2199" w:firstLine="7"/>
        <w:spacing w:after="0" w:line="249"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 reporting person of Midland States Bancorp, Inc. (the Company), Forms 3, 4 and 5 in accordance with Section 16(a) of the Exchange Act and the rules thereunder, or Forms 144 pursuant to the Exchange Act;</w:t>
      </w:r>
    </w:p>
    <w:p>
      <w:pPr>
        <w:ind w:right="2099" w:firstLine="7"/>
        <w:spacing w:after="0" w:line="249"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maybe necessary or desirable to complete and execute any such Form 3, 4, 5, or Form 144 including any amendment or amendments thereto and file such form with the Commission and the applicable stock exchange or similar authority;</w:t>
      </w:r>
    </w:p>
    <w:p>
      <w:pPr>
        <w:ind w:right="2199" w:firstLine="7"/>
        <w:spacing w:after="0" w:line="249" w:lineRule="auto"/>
        <w:tabs>
          <w:tab w:leader="none" w:pos="93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undersigneds attorney-in-fact appointed by this Power of Attorney and approves and ratifies any such release of information; and</w:t>
      </w:r>
    </w:p>
    <w:p>
      <w:pPr>
        <w:ind w:right="2199" w:firstLine="7"/>
        <w:spacing w:after="0" w:line="249"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any of such attorney-in-fact, may be of benefit to, in the best interest of, or legally required by, the undersigned, it being understood that the documents executed by any of such attorney-in-fact on behalf of the undersigned pursuant to this Power of Attorney shall be in such form and shall contain such terms and conditions as any of such attorney-in-fact may approve in his or her discretion.</w:t>
      </w:r>
    </w:p>
    <w:p>
      <w:pPr>
        <w:ind w:right="219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attorney-in-fact, or the substitute or substitutes of any of such attorney-in-fact, shall lawfully do or cause to be done by virtue of this Power of Attorney and the rights and powers herein granted. The undersigned acknowledges that the foregoing attorney-in-fact, in serving in such capacity at the request of the undersigned, are not assuming, nor is the Company assuming, any of the undersigneds responsibilities to comply with Section 16 of the Exchange Act.</w:t>
      </w:r>
    </w:p>
    <w:p>
      <w:pPr>
        <w:spacing w:after="0" w:line="1" w:lineRule="exact"/>
        <w:rPr>
          <w:rFonts w:ascii="Courier New" w:cs="Courier New" w:eastAsia="Courier New" w:hAnsi="Courier New"/>
          <w:sz w:val="17"/>
          <w:szCs w:val="17"/>
          <w:color w:val="auto"/>
        </w:rPr>
      </w:pPr>
    </w:p>
    <w:p>
      <w:pPr>
        <w:ind w:right="229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ind w:right="2199"/>
        <w:spacing w:after="0" w:line="27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agrees to hold the attorney-in-fact, or either one of them, jointly and severally, free and harmless from any and all loss, damage or liability that they, or either one of them, may sustain as a result of any action taken in good faith hereunder and not due to the attorney-in-facts own negligence, misconduct or bad faith.</w:t>
      </w:r>
    </w:p>
    <w:p>
      <w:pPr>
        <w:spacing w:after="0" w:line="84" w:lineRule="exact"/>
        <w:rPr>
          <w:sz w:val="20"/>
          <w:szCs w:val="20"/>
          <w:color w:val="auto"/>
        </w:rPr>
      </w:pPr>
    </w:p>
    <w:p>
      <w:pPr>
        <w:ind w:right="219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5th day of August, 2025.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9"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7"/>
          <w:szCs w:val="17"/>
          <w:color w:val="auto"/>
        </w:rPr>
        <w:t>Jeremy Jameson</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83171" TargetMode="External"/><Relationship Id="rId14" Type="http://schemas.openxmlformats.org/officeDocument/2006/relationships/hyperlink" Target="http://www.sec.gov/cgi-bin/browse-edgar?action=getcompany&amp;CIK=00014660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2026-05-06T08:57:50Z</dcterms:created>
  <dcterms:modified xsi:type="dcterms:W3CDTF">2026-05-06T08:57:50Z</dcterms:modified>
</cp:coreProperties>
</file>