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pPr>
      <w:r>
        <w:rPr>
          <w:color w:val="000000"/>
        </w:rPr>
        <w:t>☒</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80" w:after="283"/>
        <w:jc w:val="center"/>
        <w:rP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val="false"/>
          <w:color w:val="000000"/>
          <w:sz w:val="20"/>
        </w:rPr>
        <w:t xml:space="preserve">March 31, 2026 </w:t>
      </w:r>
    </w:p>
    <w:p>
      <w:pPr>
        <w:pStyle w:val="TextBody"/>
        <w:bidi w:val="0"/>
        <w:spacing w:lineRule="auto" w:line="288" w:before="180" w:after="283"/>
        <w:jc w:val="center"/>
        <w:rPr/>
      </w:pPr>
      <w:r>
        <w:rPr>
          <w:color w:val="000000"/>
        </w:rPr>
        <w:t>☐</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______________ to _______________</w:t>
      </w:r>
    </w:p>
    <w:p>
      <w:pPr>
        <w:pStyle w:val="TextBody"/>
        <w:bidi w:val="0"/>
        <w:spacing w:lineRule="auto" w:line="288" w:before="18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001-35272</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 xml:space="preserve">MIDLAND STATES BANCORP,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61" w:type="dxa"/>
        <w:jc w:val="center"/>
        <w:tblInd w:w="0" w:type="dxa"/>
        <w:tblLayout w:type="fixed"/>
        <w:tblCellMar>
          <w:top w:w="28" w:type="dxa"/>
          <w:left w:w="28" w:type="dxa"/>
          <w:bottom w:w="28" w:type="dxa"/>
          <w:right w:w="28" w:type="dxa"/>
        </w:tblCellMar>
      </w:tblPr>
      <w:tblGrid>
        <w:gridCol w:w="535"/>
        <w:gridCol w:w="470"/>
        <w:gridCol w:w="470"/>
        <w:gridCol w:w="470"/>
        <w:gridCol w:w="470"/>
        <w:gridCol w:w="470"/>
        <w:gridCol w:w="470"/>
        <w:gridCol w:w="470"/>
        <w:gridCol w:w="494"/>
        <w:gridCol w:w="109"/>
        <w:gridCol w:w="109"/>
        <w:gridCol w:w="109"/>
        <w:gridCol w:w="791"/>
        <w:gridCol w:w="791"/>
        <w:gridCol w:w="1133"/>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37-1233196</w:t>
            </w:r>
          </w:p>
        </w:tc>
      </w:tr>
      <w:tr>
        <w:trPr/>
        <w:tc>
          <w:tcPr>
            <w:tcW w:w="4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of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1201 Network Centre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62401</w:t>
            </w:r>
          </w:p>
        </w:tc>
      </w:tr>
      <w:tr>
        <w:trPr/>
        <w:tc>
          <w:tcPr>
            <w:tcW w:w="43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Effingham,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4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18"/>
        </w:rPr>
        <w:t>(217)</w:t>
      </w:r>
      <w:r>
        <w:rPr>
          <w:color w:val="000000"/>
        </w:rPr>
        <w:t xml:space="preserve"> </w:t>
      </w:r>
      <w:r>
        <w:rPr>
          <w:rFonts w:ascii="Times New Roman;serif" w:hAnsi="Times New Roman;serif"/>
          <w:b/>
          <w:color w:val="000000"/>
          <w:sz w:val="20"/>
        </w:rPr>
        <w:t xml:space="preserve">342-7321 </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532"/>
        <w:gridCol w:w="2006"/>
        <w:gridCol w:w="2001"/>
        <w:gridCol w:w="403"/>
        <w:gridCol w:w="403"/>
        <w:gridCol w:w="405"/>
        <w:gridCol w:w="718"/>
        <w:gridCol w:w="718"/>
        <w:gridCol w:w="1019"/>
      </w:tblGrid>
      <w:tr>
        <w:trPr/>
        <w:tc>
          <w:tcPr>
            <w:tcW w:w="2532"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MSBI</w:t>
            </w:r>
          </w:p>
        </w:tc>
        <w:tc>
          <w:tcPr>
            <w:tcW w:w="2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Depositary Shares, each representing a 1/40th interest in a share of 7.75% fixed rate reset non-cumulative perpetual preferred stock, Series A</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MSBIP</w:t>
            </w:r>
          </w:p>
        </w:tc>
        <w:tc>
          <w:tcPr>
            <w:tcW w:w="2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 </w:t>
      </w:r>
      <w:r>
        <w:rPr>
          <w:rFonts w:ascii="Times New Roman;serif" w:hAnsi="Times New Roman;serif"/>
          <w:b w:val="false"/>
          <w:color w:val="000000"/>
          <w:sz w:val="18"/>
        </w:rPr>
        <w:t>Yes</w:t>
      </w:r>
      <w:r>
        <w:rPr>
          <w:color w:val="000000"/>
        </w:rPr>
        <w:t xml:space="preserve"> ☐ </w:t>
      </w:r>
      <w:r>
        <w:rPr>
          <w:rFonts w:ascii="Times New Roman;serif" w:hAnsi="Times New Roman;serif"/>
          <w:b w:val="false"/>
          <w:color w:val="000000"/>
          <w:sz w:val="18"/>
        </w:rPr>
        <w:t>No</w:t>
      </w:r>
    </w:p>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 </w:t>
      </w:r>
      <w:r>
        <w:rPr>
          <w:rFonts w:ascii="Times New Roman;serif" w:hAnsi="Times New Roman;serif"/>
          <w:b w:val="false"/>
          <w:color w:val="000000"/>
          <w:sz w:val="18"/>
        </w:rPr>
        <w:t>Yes</w:t>
      </w:r>
      <w:r>
        <w:rPr>
          <w:color w:val="000000"/>
        </w:rPr>
        <w:t xml:space="preserve"> ☐ </w:t>
      </w:r>
      <w:r>
        <w:rPr>
          <w:rFonts w:ascii="Times New Roman;serif" w:hAnsi="Times New Roman;serif"/>
          <w:b w:val="false"/>
          <w:color w:val="000000"/>
          <w:sz w:val="18"/>
        </w:rPr>
        <w:t>No</w:t>
      </w:r>
    </w:p>
    <w:p>
      <w:pPr>
        <w:pStyle w:val="TextBody"/>
        <w:bidi w:val="0"/>
        <w:spacing w:lineRule="auto" w:line="288" w:before="18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461" w:type="dxa"/>
        <w:jc w:val="center"/>
        <w:tblInd w:w="0" w:type="dxa"/>
        <w:tblLayout w:type="fixed"/>
        <w:tblCellMar>
          <w:top w:w="28" w:type="dxa"/>
          <w:left w:w="28" w:type="dxa"/>
          <w:bottom w:w="28" w:type="dxa"/>
          <w:right w:w="28" w:type="dxa"/>
        </w:tblCellMar>
      </w:tblPr>
      <w:tblGrid>
        <w:gridCol w:w="766"/>
        <w:gridCol w:w="673"/>
        <w:gridCol w:w="676"/>
        <w:gridCol w:w="109"/>
        <w:gridCol w:w="109"/>
        <w:gridCol w:w="109"/>
        <w:gridCol w:w="434"/>
        <w:gridCol w:w="434"/>
        <w:gridCol w:w="436"/>
        <w:gridCol w:w="109"/>
        <w:gridCol w:w="109"/>
        <w:gridCol w:w="109"/>
        <w:gridCol w:w="539"/>
        <w:gridCol w:w="539"/>
        <w:gridCol w:w="541"/>
        <w:gridCol w:w="109"/>
        <w:gridCol w:w="109"/>
        <w:gridCol w:w="109"/>
        <w:gridCol w:w="689"/>
        <w:gridCol w:w="689"/>
        <w:gridCol w:w="692"/>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Emerging growth company</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is a shell company (as defined in Rule 12b-2 of the Act).</w:t>
      </w:r>
      <w:r>
        <w:rPr>
          <w:color w:val="000000"/>
        </w:rPr>
        <w:t xml:space="preserve"> ☐ </w:t>
      </w:r>
      <w:r>
        <w:rPr>
          <w:rFonts w:ascii="Times New Roman;serif" w:hAnsi="Times New Roman;serif"/>
          <w:b w:val="false"/>
          <w:color w:val="000000"/>
          <w:sz w:val="18"/>
        </w:rPr>
        <w:t>Yes</w:t>
      </w:r>
      <w:r>
        <w:rPr>
          <w:color w:val="000000"/>
        </w:rPr>
        <w:t xml:space="preserve"> ☒ </w:t>
      </w:r>
      <w:r>
        <w:rPr>
          <w:rFonts w:ascii="Times New Roman;serif" w:hAnsi="Times New Roman;serif"/>
          <w:b w:val="false"/>
          <w:color w:val="000000"/>
          <w:sz w:val="18"/>
        </w:rPr>
        <w:t>No</w:t>
      </w:r>
    </w:p>
    <w:p>
      <w:pPr>
        <w:pStyle w:val="TextBody"/>
        <w:bidi w:val="0"/>
        <w:spacing w:lineRule="auto" w:line="288" w:before="180" w:after="240"/>
        <w:jc w:val="left"/>
        <w:rPr/>
      </w:pPr>
      <w:r>
        <w:rPr>
          <w:rFonts w:ascii="Times New Roman;serif" w:hAnsi="Times New Roman;serif"/>
          <w:b w:val="false"/>
          <w:color w:val="000000"/>
          <w:sz w:val="18"/>
        </w:rPr>
        <w:t xml:space="preserve">As of </w:t>
      </w:r>
      <w:r>
        <w:rPr>
          <w:rFonts w:ascii="Times New Roman;serif" w:hAnsi="Times New Roman;serif"/>
          <w:b w:val="false"/>
          <w:color w:val="000000"/>
          <w:sz w:val="18"/>
          <w:shd w:fill="FFFFFF" w:val="clear"/>
        </w:rPr>
        <w:t>April 20, 2026</w:t>
      </w:r>
      <w:r>
        <w:rPr>
          <w:rFonts w:ascii="Times New Roman;serif" w:hAnsi="Times New Roman;serif"/>
          <w:b w:val="false"/>
          <w:color w:val="000000"/>
          <w:sz w:val="18"/>
        </w:rPr>
        <w:t>, the Registrant had 20,729,799 shares of outstanding common stock, $0.01 par value.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pPr>
      <w:r>
        <w:rPr>
          <w:rFonts w:ascii="Times New Roman;serif" w:hAnsi="Times New Roman;serif"/>
          <w:b/>
          <w:color w:val="000000"/>
          <w:sz w:val="22"/>
        </w:rPr>
        <w:t>MIDLAND STATES</w:t>
      </w:r>
      <w:r>
        <w:rPr>
          <w:color w:val="000000"/>
        </w:rPr>
        <w:t xml:space="preserve"> </w:t>
      </w:r>
      <w:r>
        <w:rPr>
          <w:rFonts w:ascii="Times New Roman;serif" w:hAnsi="Times New Roman;serif"/>
          <w:b/>
          <w:color w:val="000000"/>
          <w:sz w:val="22"/>
        </w:rPr>
        <w:t>BANCORP,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64"/>
        <w:gridCol w:w="494"/>
        <w:gridCol w:w="494"/>
        <w:gridCol w:w="2695"/>
        <w:gridCol w:w="2693"/>
        <w:gridCol w:w="2691"/>
        <w:gridCol w:w="167"/>
        <w:gridCol w:w="167"/>
        <w:gridCol w:w="240"/>
      </w:tblGrid>
      <w:tr>
        <w:trPr/>
        <w:tc>
          <w:tcPr>
            <w:tcW w:w="56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24">
              <w:r>
                <w:rPr>
                  <w:rStyle w:val="InternetLink"/>
                  <w:rFonts w:ascii="Times New Roman;serif" w:hAnsi="Times New Roman;serif"/>
                  <w:b w:val="false"/>
                  <w:strike w:val="false"/>
                  <w:dstrike w:val="false"/>
                  <w:color w:val="000000"/>
                  <w:sz w:val="20"/>
                  <w:u w:val="none"/>
                  <w:effect w:val="none"/>
                </w:rPr>
                <w:t>Item 1.</w:t>
              </w:r>
            </w:hyperlink>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c81d5caa43e483c8b68b1a8856d6f4b_124">
              <w:r>
                <w:rPr>
                  <w:rStyle w:val="InternetLink"/>
                  <w:rFonts w:ascii="Times New Roman;serif" w:hAnsi="Times New Roman;serif"/>
                  <w:b w:val="false"/>
                  <w:strike w:val="false"/>
                  <w:dstrike w:val="false"/>
                  <w:color w:val="000000"/>
                  <w:sz w:val="20"/>
                  <w:u w:val="none"/>
                  <w:effect w:val="none"/>
                </w:rPr>
                <w:t>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27">
              <w:r>
                <w:rPr>
                  <w:rStyle w:val="InternetLink"/>
                  <w:rFonts w:ascii="Times New Roman;serif" w:hAnsi="Times New Roman;serif"/>
                  <w:b w:val="false"/>
                  <w:strike w:val="false"/>
                  <w:dstrike w:val="false"/>
                  <w:color w:val="000000"/>
                  <w:sz w:val="20"/>
                  <w:u w:val="none"/>
                  <w:effect w:val="none"/>
                </w:rPr>
                <w:t xml:space="preserve">Consolidated Balance Sheets at </w:t>
              </w:r>
            </w:hyperlink>
            <w:r>
              <w:rPr>
                <w:rFonts w:ascii="Times New Roman;serif" w:hAnsi="Times New Roman;serif"/>
                <w:b w:val="false"/>
                <w:color w:val="000000"/>
                <w:sz w:val="20"/>
              </w:rPr>
              <w:t>March 31, 2026</w:t>
            </w:r>
            <w:hyperlink w:anchor="i0c81d5caa43e483c8b68b1a8856d6f4b_127">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(Unaudited)</w:t>
            </w:r>
            <w:hyperlink w:anchor="i0c81d5caa43e483c8b68b1a8856d6f4b_127">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127">
              <w:r>
                <w:rPr>
                  <w:rStyle w:val="InternetLink"/>
                  <w:rFonts w:ascii="Times New Roman;serif" w:hAnsi="Times New Roman;serif"/>
                  <w:b w:val="false"/>
                  <w:strike w:val="false"/>
                  <w:dstrike w:val="false"/>
                  <w:color w:val="000000"/>
                  <w:sz w:val="20"/>
                  <w:u w:val="none"/>
                  <w:effect w:val="none"/>
                </w:rPr>
                <w:t>3</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81d5caa43e483c8b68b1a8856d6f4b_130">
              <w:r>
                <w:rPr>
                  <w:rStyle w:val="InternetLink"/>
                  <w:rFonts w:ascii="Times New Roman;serif" w:hAnsi="Times New Roman;serif"/>
                  <w:b w:val="false"/>
                  <w:strike w:val="false"/>
                  <w:dstrike w:val="false"/>
                  <w:color w:val="000000"/>
                  <w:sz w:val="20"/>
                  <w:u w:val="none"/>
                  <w:effect w:val="none"/>
                </w:rPr>
                <w:t xml:space="preserve">Consolidated Statements of Income </w:t>
              </w:r>
            </w:hyperlink>
            <w:r>
              <w:rPr>
                <w:rFonts w:ascii="Times New Roman;serif" w:hAnsi="Times New Roman;serif"/>
                <w:b w:val="false"/>
                <w:color w:val="000000"/>
                <w:sz w:val="20"/>
              </w:rPr>
              <w:t>(Unaudited)</w:t>
            </w:r>
            <w:hyperlink w:anchor="i0c81d5caa43e483c8b68b1a8856d6f4b_130">
              <w:r>
                <w:rPr>
                  <w:rStyle w:val="InternetLink"/>
                  <w:rFonts w:ascii="Times New Roman;serif" w:hAnsi="Times New Roman;serif"/>
                  <w:b w:val="false"/>
                  <w:strike w:val="false"/>
                  <w:dstrike w:val="false"/>
                  <w:color w:val="000000"/>
                  <w:sz w:val="20"/>
                  <w:u w:val="none"/>
                  <w:effect w:val="none"/>
                </w:rPr>
                <w:t xml:space="preserve"> for the </w:t>
              </w:r>
            </w:hyperlink>
            <w:r>
              <w:rPr>
                <w:rFonts w:ascii="Times New Roman;serif" w:hAnsi="Times New Roman;serif"/>
                <w:b w:val="false"/>
                <w:color w:val="000000"/>
                <w:sz w:val="20"/>
              </w:rPr>
              <w:t xml:space="preserve">three months ended March 31, 2026 </w:t>
            </w:r>
            <w:hyperlink w:anchor="i0c81d5caa43e483c8b68b1a8856d6f4b_130">
              <w:r>
                <w:rPr>
                  <w:rStyle w:val="InternetLink"/>
                  <w:rFonts w:ascii="Times New Roman;serif" w:hAnsi="Times New Roman;serif"/>
                  <w:b w:val="false"/>
                  <w:strike w:val="false"/>
                  <w:dstrike w:val="false"/>
                  <w:color w:val="000000"/>
                  <w:sz w:val="20"/>
                  <w:u w:val="none"/>
                  <w:effect w:val="none"/>
                </w:rPr>
                <w:t xml:space="preserve">and </w:t>
              </w:r>
            </w:hyperlink>
            <w:r>
              <w:rPr>
                <w:rFonts w:ascii="Times New Roman;serif" w:hAnsi="Times New Roman;serif"/>
                <w:b w:val="false"/>
                <w:color w:val="000000"/>
                <w:sz w:val="20"/>
              </w:rPr>
              <w:t>2025</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130">
              <w:r>
                <w:rPr>
                  <w:rStyle w:val="InternetLink"/>
                  <w:rFonts w:ascii="Times New Roman;serif" w:hAnsi="Times New Roman;serif"/>
                  <w:b w:val="false"/>
                  <w:strike w:val="false"/>
                  <w:dstrike w:val="false"/>
                  <w:color w:val="000000"/>
                  <w:sz w:val="20"/>
                  <w:u w:val="none"/>
                  <w:effect w:val="none"/>
                </w:rPr>
                <w:t>4</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81d5caa43e483c8b68b1a8856d6f4b_133">
              <w:r>
                <w:rPr>
                  <w:rStyle w:val="InternetLink"/>
                  <w:rFonts w:ascii="Times New Roman;serif" w:hAnsi="Times New Roman;serif"/>
                  <w:b w:val="false"/>
                  <w:strike w:val="false"/>
                  <w:dstrike w:val="false"/>
                  <w:color w:val="000000"/>
                  <w:sz w:val="20"/>
                  <w:u w:val="none"/>
                  <w:effect w:val="none"/>
                </w:rPr>
                <w:t xml:space="preserve">Consolidated Statements of Comprehensive Income </w:t>
              </w:r>
            </w:hyperlink>
            <w:r>
              <w:rPr>
                <w:rFonts w:ascii="Times New Roman;serif" w:hAnsi="Times New Roman;serif"/>
                <w:b w:val="false"/>
                <w:color w:val="000000"/>
                <w:sz w:val="20"/>
              </w:rPr>
              <w:t>(Unaudited)</w:t>
            </w:r>
            <w:hyperlink w:anchor="i0c81d5caa43e483c8b68b1a8856d6f4b_133">
              <w:r>
                <w:rPr>
                  <w:rStyle w:val="InternetLink"/>
                  <w:rFonts w:ascii="Times New Roman;serif" w:hAnsi="Times New Roman;serif"/>
                  <w:b w:val="false"/>
                  <w:strike w:val="false"/>
                  <w:dstrike w:val="false"/>
                  <w:color w:val="000000"/>
                  <w:sz w:val="20"/>
                  <w:u w:val="none"/>
                  <w:effect w:val="none"/>
                </w:rPr>
                <w:t xml:space="preserve"> for the </w:t>
              </w:r>
            </w:hyperlink>
            <w:r>
              <w:rPr>
                <w:rFonts w:ascii="Times New Roman;serif" w:hAnsi="Times New Roman;serif"/>
                <w:b w:val="false"/>
                <w:color w:val="000000"/>
                <w:sz w:val="20"/>
              </w:rPr>
              <w:t>three months ended March 31, 2026</w:t>
            </w:r>
            <w:hyperlink w:anchor="i0c81d5caa43e483c8b68b1a8856d6f4b_133">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133">
              <w:r>
                <w:rPr>
                  <w:rStyle w:val="InternetLink"/>
                  <w:rFonts w:ascii="Times New Roman;serif" w:hAnsi="Times New Roman;serif"/>
                  <w:b w:val="false"/>
                  <w:strike w:val="false"/>
                  <w:dstrike w:val="false"/>
                  <w:color w:val="000000"/>
                  <w:sz w:val="20"/>
                  <w:u w:val="none"/>
                  <w:effect w:val="none"/>
                </w:rPr>
                <w:t>5</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81d5caa43e483c8b68b1a8856d6f4b_136">
              <w:r>
                <w:rPr>
                  <w:rStyle w:val="InternetLink"/>
                  <w:rFonts w:ascii="Times New Roman;serif" w:hAnsi="Times New Roman;serif"/>
                  <w:b w:val="false"/>
                  <w:strike w:val="false"/>
                  <w:dstrike w:val="false"/>
                  <w:color w:val="000000"/>
                  <w:sz w:val="20"/>
                  <w:u w:val="none"/>
                  <w:effect w:val="none"/>
                </w:rPr>
                <w:t xml:space="preserve">Consolidated Statements of Shareholders’ Equity </w:t>
              </w:r>
            </w:hyperlink>
            <w:r>
              <w:rPr>
                <w:rFonts w:ascii="Times New Roman;serif" w:hAnsi="Times New Roman;serif"/>
                <w:b w:val="false"/>
                <w:color w:val="000000"/>
                <w:sz w:val="20"/>
              </w:rPr>
              <w:t>(Unaudited)</w:t>
            </w:r>
            <w:hyperlink w:anchor="i0c81d5caa43e483c8b68b1a8856d6f4b_136">
              <w:r>
                <w:rPr>
                  <w:rStyle w:val="InternetLink"/>
                  <w:rFonts w:ascii="Times New Roman;serif" w:hAnsi="Times New Roman;serif"/>
                  <w:b w:val="false"/>
                  <w:strike w:val="false"/>
                  <w:dstrike w:val="false"/>
                  <w:color w:val="000000"/>
                  <w:sz w:val="20"/>
                  <w:u w:val="none"/>
                  <w:effect w:val="none"/>
                </w:rPr>
                <w:t xml:space="preserve"> for the </w:t>
              </w:r>
            </w:hyperlink>
            <w:r>
              <w:rPr>
                <w:rFonts w:ascii="Times New Roman;serif" w:hAnsi="Times New Roman;serif"/>
                <w:b w:val="false"/>
                <w:color w:val="000000"/>
                <w:sz w:val="20"/>
              </w:rPr>
              <w:t>three months ended March 31, 2026</w:t>
            </w:r>
            <w:hyperlink w:anchor="i0c81d5caa43e483c8b68b1a8856d6f4b_136">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136">
              <w:r>
                <w:rPr>
                  <w:rStyle w:val="InternetLink"/>
                  <w:rFonts w:ascii="Times New Roman;serif" w:hAnsi="Times New Roman;serif"/>
                  <w:b w:val="false"/>
                  <w:strike w:val="false"/>
                  <w:dstrike w:val="false"/>
                  <w:color w:val="000000"/>
                  <w:sz w:val="20"/>
                  <w:u w:val="none"/>
                  <w:effect w:val="none"/>
                </w:rPr>
                <w:t>6</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81d5caa43e483c8b68b1a8856d6f4b_142">
              <w:r>
                <w:rPr>
                  <w:rStyle w:val="InternetLink"/>
                  <w:rFonts w:ascii="Times New Roman;serif" w:hAnsi="Times New Roman;serif"/>
                  <w:b w:val="false"/>
                  <w:strike w:val="false"/>
                  <w:dstrike w:val="false"/>
                  <w:color w:val="000000"/>
                  <w:sz w:val="20"/>
                  <w:u w:val="none"/>
                  <w:effect w:val="none"/>
                </w:rPr>
                <w:t xml:space="preserve">Consolidated Statements of Cash Flows </w:t>
              </w:r>
            </w:hyperlink>
            <w:r>
              <w:rPr>
                <w:rFonts w:ascii="Times New Roman;serif" w:hAnsi="Times New Roman;serif"/>
                <w:b w:val="false"/>
                <w:color w:val="000000"/>
                <w:sz w:val="20"/>
              </w:rPr>
              <w:t>(Unaudited)</w:t>
            </w:r>
            <w:hyperlink w:anchor="i0c81d5caa43e483c8b68b1a8856d6f4b_142">
              <w:r>
                <w:rPr>
                  <w:rStyle w:val="InternetLink"/>
                  <w:rFonts w:ascii="Times New Roman;serif" w:hAnsi="Times New Roman;serif"/>
                  <w:b w:val="false"/>
                  <w:strike w:val="false"/>
                  <w:dstrike w:val="false"/>
                  <w:color w:val="000000"/>
                  <w:sz w:val="20"/>
                  <w:u w:val="none"/>
                  <w:effect w:val="none"/>
                </w:rPr>
                <w:t xml:space="preserve"> for the </w:t>
              </w:r>
            </w:hyperlink>
            <w:r>
              <w:rPr>
                <w:rFonts w:ascii="Times New Roman;serif" w:hAnsi="Times New Roman;serif"/>
                <w:b w:val="false"/>
                <w:color w:val="000000"/>
                <w:sz w:val="20"/>
              </w:rPr>
              <w:t xml:space="preserve">three months ended March 31, 2026 </w:t>
            </w:r>
            <w:hyperlink w:anchor="i0c81d5caa43e483c8b68b1a8856d6f4b_142">
              <w:r>
                <w:rPr>
                  <w:rStyle w:val="InternetLink"/>
                  <w:rFonts w:ascii="Times New Roman;serif" w:hAnsi="Times New Roman;serif"/>
                  <w:b w:val="false"/>
                  <w:strike w:val="false"/>
                  <w:dstrike w:val="false"/>
                  <w:color w:val="000000"/>
                  <w:sz w:val="20"/>
                  <w:u w:val="none"/>
                  <w:effect w:val="none"/>
                </w:rPr>
                <w:t xml:space="preserve">and </w:t>
              </w:r>
            </w:hyperlink>
            <w:r>
              <w:rPr>
                <w:rFonts w:ascii="Times New Roman;serif" w:hAnsi="Times New Roman;serif"/>
                <w:b w:val="false"/>
                <w:color w:val="000000"/>
                <w:sz w:val="20"/>
              </w:rPr>
              <w:t>2025</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142">
              <w:r>
                <w:rPr>
                  <w:rStyle w:val="InternetLink"/>
                  <w:rFonts w:ascii="Times New Roman;serif" w:hAnsi="Times New Roman;serif"/>
                  <w:b w:val="false"/>
                  <w:strike w:val="false"/>
                  <w:dstrike w:val="false"/>
                  <w:color w:val="000000"/>
                  <w:sz w:val="20"/>
                  <w:u w:val="none"/>
                  <w:effect w:val="none"/>
                </w:rPr>
                <w:t>7</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45">
              <w:r>
                <w:rPr>
                  <w:rStyle w:val="InternetLink"/>
                  <w:rFonts w:ascii="Times New Roman;serif" w:hAnsi="Times New Roman;serif"/>
                  <w:b w:val="false"/>
                  <w:strike w:val="false"/>
                  <w:dstrike w:val="false"/>
                  <w:color w:val="000000"/>
                  <w:sz w:val="20"/>
                  <w:u w:val="none"/>
                  <w:effect w:val="none"/>
                </w:rPr>
                <w:t xml:space="preserve">Notes to Consolidated Financial Statements </w:t>
              </w:r>
            </w:hyperlink>
            <w:r>
              <w:rPr>
                <w:rFonts w:ascii="Times New Roman;serif" w:hAnsi="Times New Roman;serif"/>
                <w:b w:val="false"/>
                <w:color w:val="000000"/>
                <w:sz w:val="20"/>
              </w:rPr>
              <w:t>(Unaudited)</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148">
              <w:r>
                <w:rPr>
                  <w:rStyle w:val="InternetLink"/>
                  <w:rFonts w:ascii="Times New Roman;serif" w:hAnsi="Times New Roman;serif"/>
                  <w:b w:val="false"/>
                  <w:strike w:val="false"/>
                  <w:dstrike w:val="false"/>
                  <w:color w:val="000000"/>
                  <w:sz w:val="20"/>
                  <w:u w:val="none"/>
                  <w:effect w:val="none"/>
                </w:rPr>
                <w:t>8</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58">
              <w:r>
                <w:rPr>
                  <w:rStyle w:val="InternetLink"/>
                  <w:rFonts w:ascii="Times New Roman;serif" w:hAnsi="Times New Roman;serif"/>
                  <w:b w:val="false"/>
                  <w:strike w:val="false"/>
                  <w:dstrike w:val="false"/>
                  <w:color w:val="000000"/>
                  <w:sz w:val="20"/>
                  <w:u w:val="none"/>
                  <w:effect w:val="none"/>
                </w:rPr>
                <w:t>Item 2.</w:t>
              </w:r>
            </w:hyperlink>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58">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58">
              <w:r>
                <w:rPr>
                  <w:rStyle w:val="InternetLink"/>
                  <w:rFonts w:ascii="Times New Roman;serif" w:hAnsi="Times New Roman;serif"/>
                  <w:b w:val="false"/>
                  <w:strike w:val="false"/>
                  <w:dstrike w:val="false"/>
                  <w:color w:val="000000"/>
                  <w:sz w:val="20"/>
                  <w:u w:val="none"/>
                  <w:effect w:val="none"/>
                </w:rPr>
                <w:t>43</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15">
              <w:r>
                <w:rPr>
                  <w:rStyle w:val="InternetLink"/>
                  <w:rFonts w:ascii="Times New Roman;serif" w:hAnsi="Times New Roman;serif"/>
                  <w:b w:val="false"/>
                  <w:strike w:val="false"/>
                  <w:dstrike w:val="false"/>
                  <w:color w:val="000000"/>
                  <w:sz w:val="20"/>
                  <w:u w:val="none"/>
                  <w:effect w:val="none"/>
                </w:rPr>
                <w:t>Item 3.</w:t>
              </w:r>
            </w:hyperlink>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15">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115">
              <w:r>
                <w:rPr>
                  <w:rStyle w:val="InternetLink"/>
                  <w:rFonts w:ascii="Times New Roman;serif" w:hAnsi="Times New Roman;serif"/>
                  <w:b w:val="false"/>
                  <w:strike w:val="false"/>
                  <w:dstrike w:val="false"/>
                  <w:color w:val="000000"/>
                  <w:sz w:val="20"/>
                  <w:u w:val="none"/>
                  <w:effect w:val="none"/>
                </w:rPr>
                <w:t>62</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16">
              <w:r>
                <w:rPr>
                  <w:rStyle w:val="InternetLink"/>
                  <w:rFonts w:ascii="Times New Roman;serif" w:hAnsi="Times New Roman;serif"/>
                  <w:b w:val="false"/>
                  <w:strike w:val="false"/>
                  <w:dstrike w:val="false"/>
                  <w:color w:val="000000"/>
                  <w:sz w:val="20"/>
                  <w:u w:val="none"/>
                  <w:effect w:val="none"/>
                </w:rPr>
                <w:t>Item 4.</w:t>
              </w:r>
            </w:hyperlink>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55">
              <w:r>
                <w:rPr>
                  <w:rStyle w:val="InternetLink"/>
                  <w:rFonts w:ascii="Times New Roman;serif" w:hAnsi="Times New Roman;serif"/>
                  <w:b w:val="false"/>
                  <w:strike w:val="false"/>
                  <w:dstrike w:val="false"/>
                  <w:color w:val="000000"/>
                  <w:sz w:val="20"/>
                  <w:u w:val="none"/>
                  <w:effect w:val="none"/>
                </w:rPr>
                <w:t>Controls and Procedures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355">
              <w:r>
                <w:rPr>
                  <w:rStyle w:val="InternetLink"/>
                  <w:rFonts w:ascii="Times New Roman;serif" w:hAnsi="Times New Roman;serif"/>
                  <w:b w:val="false"/>
                  <w:strike w:val="false"/>
                  <w:dstrike w:val="false"/>
                  <w:color w:val="000000"/>
                  <w:sz w:val="20"/>
                  <w:u w:val="none"/>
                  <w:effect w:val="none"/>
                </w:rPr>
                <w:t>63</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58">
              <w:r>
                <w:rPr>
                  <w:rStyle w:val="InternetLink"/>
                  <w:rFonts w:ascii="Times New Roman;serif" w:hAnsi="Times New Roman;serif"/>
                  <w:b/>
                  <w:strike w:val="false"/>
                  <w:dstrike w:val="false"/>
                  <w:color w:val="000000"/>
                  <w:sz w:val="20"/>
                  <w:u w:val="none"/>
                  <w:effect w:val="none"/>
                </w:rPr>
                <w:t>PART II. 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43">
              <w:r>
                <w:rPr>
                  <w:rStyle w:val="InternetLink"/>
                  <w:rFonts w:ascii="Times New Roman;serif" w:hAnsi="Times New Roman;serif"/>
                  <w:b w:val="false"/>
                  <w:strike w:val="false"/>
                  <w:dstrike w:val="false"/>
                  <w:color w:val="000000"/>
                  <w:sz w:val="20"/>
                  <w:u w:val="none"/>
                  <w:effect w:val="none"/>
                </w:rPr>
                <w:t>Item 1.</w:t>
              </w:r>
            </w:hyperlink>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120">
              <w:r>
                <w:rPr>
                  <w:rStyle w:val="InternetLink"/>
                  <w:rFonts w:ascii="Times New Roman;serif" w:hAnsi="Times New Roman;serif"/>
                  <w:b w:val="false"/>
                  <w:strike w:val="false"/>
                  <w:dstrike w:val="false"/>
                  <w:color w:val="000000"/>
                  <w:sz w:val="20"/>
                  <w:u w:val="none"/>
                  <w:effect w:val="non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2120">
              <w:r>
                <w:rPr>
                  <w:rStyle w:val="InternetLink"/>
                  <w:rFonts w:ascii="Times New Roman;serif" w:hAnsi="Times New Roman;serif"/>
                  <w:b w:val="false"/>
                  <w:strike w:val="false"/>
                  <w:dstrike w:val="false"/>
                  <w:color w:val="000000"/>
                  <w:sz w:val="20"/>
                  <w:u w:val="none"/>
                  <w:effect w:val="none"/>
                </w:rPr>
                <w:t>63</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61">
              <w:r>
                <w:rPr>
                  <w:rStyle w:val="InternetLink"/>
                  <w:rFonts w:ascii="Times New Roman;serif" w:hAnsi="Times New Roman;serif"/>
                  <w:b w:val="false"/>
                  <w:strike w:val="false"/>
                  <w:dstrike w:val="false"/>
                  <w:color w:val="000000"/>
                  <w:sz w:val="20"/>
                  <w:u w:val="none"/>
                  <w:effect w:val="none"/>
                </w:rPr>
                <w:t>Item 1A.</w:t>
              </w:r>
            </w:hyperlink>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61">
              <w:r>
                <w:rPr>
                  <w:rStyle w:val="InternetLink"/>
                  <w:rFonts w:ascii="Times New Roman;serif" w:hAnsi="Times New Roman;serif"/>
                  <w:b w:val="false"/>
                  <w:strike w:val="false"/>
                  <w:dstrike w:val="false"/>
                  <w:color w:val="000000"/>
                  <w:sz w:val="20"/>
                  <w:u w:val="none"/>
                  <w:effect w:val="non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361">
              <w:r>
                <w:rPr>
                  <w:rStyle w:val="InternetLink"/>
                  <w:rFonts w:ascii="Times New Roman;serif" w:hAnsi="Times New Roman;serif"/>
                  <w:b w:val="false"/>
                  <w:strike w:val="false"/>
                  <w:dstrike w:val="false"/>
                  <w:color w:val="000000"/>
                  <w:sz w:val="20"/>
                  <w:u w:val="none"/>
                  <w:effect w:val="none"/>
                </w:rPr>
                <w:t>63</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64">
              <w:r>
                <w:rPr>
                  <w:rStyle w:val="InternetLink"/>
                  <w:rFonts w:ascii="Times New Roman;serif" w:hAnsi="Times New Roman;serif"/>
                  <w:b w:val="false"/>
                  <w:strike w:val="false"/>
                  <w:dstrike w:val="false"/>
                  <w:color w:val="000000"/>
                  <w:sz w:val="20"/>
                  <w:u w:val="none"/>
                  <w:effect w:val="none"/>
                </w:rPr>
                <w:t>Item 2.</w:t>
              </w:r>
            </w:hyperlink>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64">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364">
              <w:r>
                <w:rPr>
                  <w:rStyle w:val="InternetLink"/>
                  <w:rFonts w:ascii="Times New Roman;serif" w:hAnsi="Times New Roman;serif"/>
                  <w:b w:val="false"/>
                  <w:strike w:val="false"/>
                  <w:dstrike w:val="false"/>
                  <w:color w:val="000000"/>
                  <w:sz w:val="20"/>
                  <w:u w:val="none"/>
                  <w:effect w:val="none"/>
                </w:rPr>
                <w:t>64</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67">
              <w:r>
                <w:rPr>
                  <w:rStyle w:val="InternetLink"/>
                  <w:rFonts w:ascii="Times New Roman;serif" w:hAnsi="Times New Roman;serif"/>
                  <w:b w:val="false"/>
                  <w:strike w:val="false"/>
                  <w:dstrike w:val="false"/>
                  <w:color w:val="000000"/>
                  <w:sz w:val="20"/>
                  <w:u w:val="none"/>
                  <w:effect w:val="none"/>
                </w:rPr>
                <w:t>Item 5.</w:t>
              </w:r>
            </w:hyperlink>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67">
              <w:r>
                <w:rPr>
                  <w:rStyle w:val="InternetLink"/>
                  <w:rFonts w:ascii="Times New Roman;serif" w:hAnsi="Times New Roman;serif"/>
                  <w:b w:val="false"/>
                  <w:strike w:val="false"/>
                  <w:dstrike w:val="false"/>
                  <w:color w:val="000000"/>
                  <w:sz w:val="20"/>
                  <w:u w:val="none"/>
                  <w:effect w:val="non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367">
              <w:r>
                <w:rPr>
                  <w:rStyle w:val="InternetLink"/>
                  <w:rFonts w:ascii="Times New Roman;serif" w:hAnsi="Times New Roman;serif"/>
                  <w:b w:val="false"/>
                  <w:strike w:val="false"/>
                  <w:dstrike w:val="false"/>
                  <w:color w:val="000000"/>
                  <w:sz w:val="20"/>
                  <w:u w:val="none"/>
                  <w:effect w:val="none"/>
                </w:rPr>
                <w:t>64</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70">
              <w:r>
                <w:rPr>
                  <w:rStyle w:val="InternetLink"/>
                  <w:rFonts w:ascii="Times New Roman;serif" w:hAnsi="Times New Roman;serif"/>
                  <w:b w:val="false"/>
                  <w:strike w:val="false"/>
                  <w:dstrike w:val="false"/>
                  <w:color w:val="000000"/>
                  <w:sz w:val="20"/>
                  <w:u w:val="none"/>
                  <w:effect w:val="none"/>
                </w:rPr>
                <w:t>Item 6.</w:t>
              </w:r>
            </w:hyperlink>
          </w:p>
        </w:tc>
        <w:tc>
          <w:tcPr>
            <w:tcW w:w="8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70">
              <w:r>
                <w:rPr>
                  <w:rStyle w:val="InternetLink"/>
                  <w:rFonts w:ascii="Times New Roman;serif" w:hAnsi="Times New Roman;serif"/>
                  <w:b w:val="false"/>
                  <w:strike w:val="false"/>
                  <w:dstrike w:val="false"/>
                  <w:color w:val="000000"/>
                  <w:sz w:val="20"/>
                  <w:u w:val="none"/>
                  <w:effect w:val="none"/>
                </w:rPr>
                <w:t>Exhibits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370">
              <w:r>
                <w:rPr>
                  <w:rStyle w:val="InternetLink"/>
                  <w:rFonts w:ascii="Times New Roman;serif" w:hAnsi="Times New Roman;serif"/>
                  <w:b w:val="false"/>
                  <w:strike w:val="false"/>
                  <w:dstrike w:val="false"/>
                  <w:color w:val="000000"/>
                  <w:sz w:val="20"/>
                  <w:u w:val="none"/>
                  <w:effect w:val="none"/>
                </w:rPr>
                <w:t>65</w:t>
              </w:r>
            </w:hyperlink>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373">
              <w:r>
                <w:rPr>
                  <w:rStyle w:val="InternetLink"/>
                  <w:rFonts w:ascii="Times New Roman;serif" w:hAnsi="Times New Roman;serif"/>
                  <w:b/>
                  <w:strike w:val="false"/>
                  <w:dstrike w:val="false"/>
                  <w:color w:val="000000"/>
                  <w:sz w:val="20"/>
                  <w:u w:val="none"/>
                  <w:effect w:val="none"/>
                </w:rPr>
                <w:t>SIGNATURES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c81d5caa43e483c8b68b1a8856d6f4b_373">
              <w:r>
                <w:rPr>
                  <w:rStyle w:val="InternetLink"/>
                  <w:rFonts w:ascii="Times New Roman;serif" w:hAnsi="Times New Roman;serif"/>
                  <w:b w:val="false"/>
                  <w:strike w:val="false"/>
                  <w:dstrike w:val="false"/>
                  <w:color w:val="000000"/>
                  <w:sz w:val="20"/>
                  <w:u w:val="none"/>
                  <w:effect w:val="non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GLOSSARY OF ABBREVIATIONS AND ACRONYMS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used in this report, references to the "Company," "we," "our," "us," and similar terms refer to the consolidated entity consisting of Midland States Bancorp, Inc. and its wholly owned subsidiaries. Midland States Bancorp, Inc. refers solely to the parent holding company and Midland States Bank (the "Bank") refers to our wholly owned banking subsidiary.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acronyms and abbreviations identified below are used throughout this report, including the Notes to the Consolidated Financial Statements. You may find it helpful to refer to this page as you read this report.</w:t>
      </w:r>
    </w:p>
    <w:tbl>
      <w:tblPr>
        <w:tblW w:w="8654" w:type="dxa"/>
        <w:jc w:val="left"/>
        <w:tblInd w:w="0" w:type="dxa"/>
        <w:tblLayout w:type="fixed"/>
        <w:tblCellMar>
          <w:top w:w="28" w:type="dxa"/>
          <w:left w:w="28" w:type="dxa"/>
          <w:bottom w:w="28" w:type="dxa"/>
          <w:right w:w="28" w:type="dxa"/>
        </w:tblCellMar>
      </w:tblPr>
      <w:tblGrid>
        <w:gridCol w:w="602"/>
        <w:gridCol w:w="530"/>
        <w:gridCol w:w="532"/>
        <w:gridCol w:w="2044"/>
        <w:gridCol w:w="2044"/>
        <w:gridCol w:w="2902"/>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2019 Incentive Plan</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Amended and Restated Midland States Bancorp, Inc. 2019 Long-Term Incentive Plan</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ACL</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on loans</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AFX</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American Financial Exchange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AMERIBOR</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American Interbank Offered Rate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AOCI</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ASU</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ATM</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Automated teller machine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BaaS</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Banking-as-a-Service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Basel III Rule</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Basel III regulatory capital reforms required by the Dodd-Frank Act</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BHCA</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Holding Company Act of 1956, as amended</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CBLR</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Community Bank Leverage Ratio</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CFPB</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Financial Protection Bureau </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CISA</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Cybersecurity and Infrastructure Security Agency</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CRA</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Community Reinvestment Act</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CRA Proposal</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Joint Proposal to Strengthen and Modernize Community Reinvestment Act Regulations </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 Guidance</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Concentrations in Commercial Real Estate Lending, Sound Risk Management Practices guidance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DFPR</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Illinois Department of Financial and Professional Regulation</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DIF</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Insurance Fund</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Act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Exchange Act of 1934</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FASB</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Accounting Standards Board </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FDIC</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Deposit Insurance Corporation</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Reserve</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Board of Governors of the Federal Reserve System</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FHA</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Housing Administration</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FinTech</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Technology</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FOMC</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Open Market Committee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FRB</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Reserve Bank</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generally accepted accounting principles </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GreenSky</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GreenSky, LLC</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Illinois CRA</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Illinois Community Reinvestment Act </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LendingPoint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LendingPoint, LLC</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LGD</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given default</w:t>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6990"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Midland Trust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Midland States Preferred Securities Trust</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Nasdaq</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NII at Risk</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at Risk </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OREO</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owned</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PCAOB</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Company Accounting Oversight Board</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PCD</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credit deteriorated</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PD</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Probability of default</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Q-Factor</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Qualitative factor</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Relief Act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Economic Growth, Regulatory Relief and Consumer Protection Act</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SBA</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 Business Administration</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Securities and Exchange Commission</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SOFR</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Overnight Financing Rate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Department of the Treasury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PART I – FINANCIAL INFORMATION</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MIDLAND STATES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20"/>
        <w:jc w:val="center"/>
        <w:rPr>
          <w:rFonts w:ascii="Times New Roman;serif" w:hAnsi="Times New Roman;serif"/>
          <w:b/>
          <w:i/>
          <w:color w:val="000000"/>
          <w:sz w:val="18"/>
        </w:rPr>
      </w:pPr>
      <w:r>
        <w:rPr>
          <w:rFonts w:ascii="Times New Roman;serif" w:hAnsi="Times New Roman;serif"/>
          <w:b/>
          <w:i/>
          <w:color w:val="000000"/>
          <w:sz w:val="18"/>
        </w:rPr>
        <w:t>(dollars in thousands, except per share data)</w:t>
      </w:r>
    </w:p>
    <w:tbl>
      <w:tblPr>
        <w:tblW w:w="10205" w:type="dxa"/>
        <w:jc w:val="center"/>
        <w:tblInd w:w="0" w:type="dxa"/>
        <w:tblLayout w:type="fixed"/>
        <w:tblCellMar>
          <w:top w:w="28" w:type="dxa"/>
          <w:left w:w="28" w:type="dxa"/>
          <w:bottom w:w="28" w:type="dxa"/>
          <w:right w:w="28" w:type="dxa"/>
        </w:tblCellMar>
      </w:tblPr>
      <w:tblGrid>
        <w:gridCol w:w="3009"/>
        <w:gridCol w:w="2168"/>
        <w:gridCol w:w="2193"/>
        <w:gridCol w:w="196"/>
        <w:gridCol w:w="871"/>
        <w:gridCol w:w="109"/>
        <w:gridCol w:w="109"/>
        <w:gridCol w:w="109"/>
        <w:gridCol w:w="109"/>
        <w:gridCol w:w="196"/>
        <w:gridCol w:w="871"/>
        <w:gridCol w:w="109"/>
        <w:gridCol w:w="156"/>
      </w:tblGrid>
      <w:tr>
        <w:trPr/>
        <w:tc>
          <w:tcPr>
            <w:tcW w:w="3009"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16"/>
              </w:rPr>
            </w:pPr>
            <w:r>
              <w:rPr>
                <w:rFonts w:ascii="Times New Roman;serif" w:hAnsi="Times New Roman;serif"/>
                <w:b/>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 funds sold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20"/>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 for sale,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on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Nonmarketable equity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rights, at lower of cost or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rights,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Company-owned life 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enhancement asset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demand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Federal Home Loan Bank advances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preferred debentures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5,989,009 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5,947,921 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20"/>
              <w:jc w:val="left"/>
              <w:rPr>
                <w:rFonts w:ascii="Times New Roman;serif" w:hAnsi="Times New Roman;serif"/>
                <w:b w:val="false"/>
                <w:color w:val="000000"/>
                <w:sz w:val="16"/>
              </w:rPr>
            </w:pPr>
            <w:r>
              <w:rPr>
                <w:rFonts w:ascii="Times New Roman;serif" w:hAnsi="Times New Roman;serif"/>
                <w:b w:val="false"/>
                <w:color w:val="000000"/>
                <w:sz w:val="16"/>
              </w:rPr>
              <w:t>Preferred stock, $2.00 par value; 4,000,000 shares authorized; 115,000 Series A shares, $1,000 per share liquidation preference, issued and outstanding at March 31,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2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40,000,000 shares authorized; 20,813,975 and 21,169,854 shares issued and outstanding at March 31,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surplus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 net of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MIDLAND STATES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 (UNAUDITED)</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(dollars in thousands, except per share data)</w:t>
      </w:r>
    </w:p>
    <w:tbl>
      <w:tblPr>
        <w:tblW w:w="6335" w:type="dxa"/>
        <w:jc w:val="center"/>
        <w:tblInd w:w="0" w:type="dxa"/>
        <w:tblLayout w:type="fixed"/>
        <w:tblCellMar>
          <w:top w:w="28" w:type="dxa"/>
          <w:left w:w="28" w:type="dxa"/>
          <w:bottom w:w="28" w:type="dxa"/>
          <w:right w:w="28" w:type="dxa"/>
        </w:tblCellMar>
      </w:tblPr>
      <w:tblGrid>
        <w:gridCol w:w="1212"/>
        <w:gridCol w:w="1070"/>
        <w:gridCol w:w="1077"/>
        <w:gridCol w:w="202"/>
        <w:gridCol w:w="639"/>
        <w:gridCol w:w="110"/>
        <w:gridCol w:w="110"/>
        <w:gridCol w:w="110"/>
        <w:gridCol w:w="110"/>
        <w:gridCol w:w="184"/>
        <w:gridCol w:w="702"/>
        <w:gridCol w:w="110"/>
        <w:gridCol w:w="109"/>
        <w:gridCol w:w="109"/>
        <w:gridCol w:w="109"/>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Loans including fees: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Taxable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65,559 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77,668 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 exempt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Loans held for sale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securities: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Taxable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 exempt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Nonmarketable equity securities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Federal funds sold and cash investments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interest income</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86,022 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99,355 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expense: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Deposits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24,203 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34,615 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Short-term borrowings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Federal Home Loan Bank advances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Subordinated debt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Trust preferred debentures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interest expense</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28,605 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41,065 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interest income</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57,417 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58,290 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Provision for credit losses: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Provision for credit losses on loans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Recapture of credit losses on unfunded commitments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provision for credit losses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interest income after provision for credit losses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52,414 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47,440 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Noninterest 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Wealth management revenue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Service charges on deposit accounts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Interchange revenue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mortgage banking revenue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on company-owned life insurance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Loss on sales of investment securities,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Credit enhancement income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noninterest income</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22,122 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17,763 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Noninterest expense: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Salaries and employee benefits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26,416 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Occupancy and equipment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Data processing</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FDIC insurance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Professional services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Marketing</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Communications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Loan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Loan servicing fees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Impairment on goodwill</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153,977 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intangible assets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noninterest expense</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50,424 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203,005 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(loss) before income taxes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24,112 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(137,802)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tax expense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(140,974)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Preferred dividends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 available to common shareholders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16,235 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(143,202)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 common share data:</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Basic earnings (loss) per common share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earnings (loss) per common share</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Weighted average common shares outstanding</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21,301,246 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21,795,570 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Weighted average diluted common shares outstanding</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21,301,246 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21,795,570 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MIDLAND STATES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 (UNAUDITED)</w:t>
      </w:r>
    </w:p>
    <w:p>
      <w:pPr>
        <w:pStyle w:val="TextBody"/>
        <w:bidi w:val="0"/>
        <w:spacing w:lineRule="auto" w:line="288" w:before="0" w:after="120"/>
        <w:jc w:val="center"/>
        <w:rPr>
          <w:rFonts w:ascii="Times New Roman;serif" w:hAnsi="Times New Roman;serif"/>
          <w:b/>
          <w:i/>
          <w:color w:val="000000"/>
          <w:sz w:val="18"/>
        </w:rPr>
      </w:pPr>
      <w:r>
        <w:rPr>
          <w:rFonts w:ascii="Times New Roman;serif" w:hAnsi="Times New Roman;serif"/>
          <w:b/>
          <w:i/>
          <w:color w:val="000000"/>
          <w:sz w:val="18"/>
        </w:rPr>
        <w:t>(dollars in thousands)</w:t>
      </w:r>
    </w:p>
    <w:tbl>
      <w:tblPr>
        <w:tblW w:w="10205" w:type="dxa"/>
        <w:jc w:val="center"/>
        <w:tblInd w:w="0" w:type="dxa"/>
        <w:tblLayout w:type="fixed"/>
        <w:tblCellMar>
          <w:top w:w="28" w:type="dxa"/>
          <w:left w:w="28" w:type="dxa"/>
          <w:bottom w:w="28" w:type="dxa"/>
          <w:right w:w="28" w:type="dxa"/>
        </w:tblCellMar>
      </w:tblPr>
      <w:tblGrid>
        <w:gridCol w:w="2572"/>
        <w:gridCol w:w="2266"/>
        <w:gridCol w:w="2273"/>
        <w:gridCol w:w="196"/>
        <w:gridCol w:w="646"/>
        <w:gridCol w:w="109"/>
        <w:gridCol w:w="109"/>
        <w:gridCol w:w="109"/>
        <w:gridCol w:w="109"/>
        <w:gridCol w:w="196"/>
        <w:gridCol w:w="810"/>
        <w:gridCol w:w="109"/>
        <w:gridCol w:w="109"/>
        <w:gridCol w:w="109"/>
        <w:gridCol w:w="109"/>
        <w:gridCol w:w="109"/>
        <w:gridCol w:w="109"/>
        <w:gridCol w:w="156"/>
      </w:tblGrid>
      <w:tr>
        <w:trPr/>
        <w:tc>
          <w:tcPr>
            <w:tcW w:w="2572"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7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 for sale: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(losses) gains that occurred during the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adjustment for realized net losses on sales of investment securities included in net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effect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investment securities available for sale, net of tax</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derivative gains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adjustment for net (gains) losses realized in 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effect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flow hedges,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erif" w:hAnsi="Times New Roman;serif"/>
          <w:b w:val="false"/>
          <w:i/>
          <w:color w:val="000000"/>
          <w:sz w:val="16"/>
        </w:rPr>
        <w:t>The accompanying notes are an integral part of the consolidated financial statements</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MIDLAND STATES BANCORP,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 — (UNAUDITED)</w:t>
      </w:r>
    </w:p>
    <w:p>
      <w:pPr>
        <w:pStyle w:val="TextBody"/>
        <w:bidi w:val="0"/>
        <w:spacing w:lineRule="auto" w:line="288" w:before="0" w:after="240"/>
        <w:jc w:val="center"/>
        <w:rPr>
          <w:rFonts w:ascii="Times New Roman;serif" w:hAnsi="Times New Roman;serif"/>
          <w:b/>
          <w:i/>
          <w:color w:val="000000"/>
          <w:sz w:val="18"/>
        </w:rPr>
      </w:pPr>
      <w:r>
        <w:rPr>
          <w:rFonts w:ascii="Times New Roman;serif" w:hAnsi="Times New Roman;serif"/>
          <w:b/>
          <w:i/>
          <w:color w:val="000000"/>
          <w:sz w:val="18"/>
        </w:rPr>
        <w:t>(dollars in thousands, except share and per share data)</w:t>
      </w:r>
    </w:p>
    <w:tbl>
      <w:tblPr>
        <w:tblW w:w="10506" w:type="dxa"/>
        <w:jc w:val="center"/>
        <w:tblInd w:w="0" w:type="dxa"/>
        <w:tblLayout w:type="fixed"/>
        <w:tblCellMar>
          <w:top w:w="28" w:type="dxa"/>
          <w:left w:w="28" w:type="dxa"/>
          <w:bottom w:w="28" w:type="dxa"/>
          <w:right w:w="28" w:type="dxa"/>
        </w:tblCellMar>
      </w:tblPr>
      <w:tblGrid>
        <w:gridCol w:w="682"/>
        <w:gridCol w:w="244"/>
        <w:gridCol w:w="245"/>
        <w:gridCol w:w="679"/>
        <w:gridCol w:w="282"/>
        <w:gridCol w:w="241"/>
        <w:gridCol w:w="109"/>
        <w:gridCol w:w="109"/>
        <w:gridCol w:w="109"/>
        <w:gridCol w:w="196"/>
        <w:gridCol w:w="736"/>
        <w:gridCol w:w="109"/>
        <w:gridCol w:w="109"/>
        <w:gridCol w:w="109"/>
        <w:gridCol w:w="109"/>
        <w:gridCol w:w="206"/>
        <w:gridCol w:w="444"/>
        <w:gridCol w:w="116"/>
        <w:gridCol w:w="109"/>
        <w:gridCol w:w="109"/>
        <w:gridCol w:w="109"/>
        <w:gridCol w:w="196"/>
        <w:gridCol w:w="736"/>
        <w:gridCol w:w="109"/>
        <w:gridCol w:w="109"/>
        <w:gridCol w:w="109"/>
        <w:gridCol w:w="109"/>
        <w:gridCol w:w="196"/>
        <w:gridCol w:w="736"/>
        <w:gridCol w:w="109"/>
        <w:gridCol w:w="109"/>
        <w:gridCol w:w="109"/>
        <w:gridCol w:w="109"/>
        <w:gridCol w:w="237"/>
        <w:gridCol w:w="801"/>
        <w:gridCol w:w="133"/>
        <w:gridCol w:w="109"/>
        <w:gridCol w:w="109"/>
        <w:gridCol w:w="109"/>
        <w:gridCol w:w="200"/>
        <w:gridCol w:w="752"/>
        <w:gridCol w:w="159"/>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br/>
              <w:t>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21,169,854 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(60,333)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565,499 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Common dividends declared ($0.32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 ($19.375 per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benefit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20,813,975 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558,954 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21,494,485 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(81,960)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710,847 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(140,974)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Common dividends declared ($0.31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 ($19.375 per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benefit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21,503,036 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(72,339)</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571,437 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MIDLAND STATES BANCORP,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 — (UNAUDITED)</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(dollars in thousands)</w:t>
      </w:r>
    </w:p>
    <w:tbl>
      <w:tblPr>
        <w:tblW w:w="8401" w:type="dxa"/>
        <w:jc w:val="center"/>
        <w:tblInd w:w="0" w:type="dxa"/>
        <w:tblLayout w:type="fixed"/>
        <w:tblCellMar>
          <w:top w:w="28" w:type="dxa"/>
          <w:left w:w="28" w:type="dxa"/>
          <w:bottom w:w="28" w:type="dxa"/>
          <w:right w:w="28" w:type="dxa"/>
        </w:tblCellMar>
      </w:tblPr>
      <w:tblGrid>
        <w:gridCol w:w="2135"/>
        <w:gridCol w:w="1877"/>
        <w:gridCol w:w="1882"/>
        <w:gridCol w:w="181"/>
        <w:gridCol w:w="646"/>
        <w:gridCol w:w="109"/>
        <w:gridCol w:w="109"/>
        <w:gridCol w:w="109"/>
        <w:gridCol w:w="109"/>
        <w:gridCol w:w="181"/>
        <w:gridCol w:w="691"/>
        <w:gridCol w:w="109"/>
        <w:gridCol w:w="109"/>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on premises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Impairment on 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operating lease right-of-use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loan servicing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Increase in cash surrender value of life insurance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securities accretion,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Loss on sales of investment securities,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Origination of loans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sales of loans and leases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on mortgage servicing rights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change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Accrued interest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Credit enhancement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expenses and 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 of investment securities available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(241,888)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sales of investment securities available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Maturities and payments on investment securities available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 of equity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decrease in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189,065 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 of premises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 of premises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 of nonmarketable equity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redemptions of nonmarketable 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sales of mortgage servicing rights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sales of other real estate owned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company-owned life insurance,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(68,354)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increase (decrease) in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increase (decrease) in short-term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increase (decrease) in short-term FHLB advances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long-term FHLB advances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Payments made on long-term FHLB advances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paid on preferred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paid on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repurchased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issuance of common stock under employee benefit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decrease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End of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Supplemental disclosures of cash flow information:</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payments for: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paid on deposits and borrowed funds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tax paid (net of refunds)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Supplemental disclosures of noncash investing and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Transfer of loans to loans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Transfer of loans to other real estate owned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Right of use assets obtained in exchange for lease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Transfer of loan servicing rights held for sale to loan servicing rights, at lower of cost or market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i/>
          <w:color w:val="000000"/>
          <w:sz w:val="16"/>
        </w:rPr>
        <w:t>The</w:t>
      </w:r>
      <w:r>
        <w:rPr>
          <w:color w:val="000000"/>
        </w:rPr>
        <w:t xml:space="preserve"> </w:t>
      </w:r>
      <w:r>
        <w:rPr>
          <w:rFonts w:ascii="Times New Roman;serif" w:hAnsi="Times New Roman;serif"/>
          <w:b w:val="false"/>
          <w:i/>
          <w:color w:val="000000"/>
          <w:sz w:val="16"/>
        </w:rPr>
        <w:t>accompanying notes are an integral part of the consolidated financial statements</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MIDLAND STATES BANCORP,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21" w:type="dxa"/>
        <w:jc w:val="left"/>
        <w:tblInd w:w="0" w:type="dxa"/>
        <w:tblLayout w:type="fixed"/>
        <w:tblCellMar>
          <w:top w:w="28" w:type="dxa"/>
          <w:left w:w="28" w:type="dxa"/>
          <w:bottom w:w="28" w:type="dxa"/>
          <w:right w:w="28" w:type="dxa"/>
        </w:tblCellMar>
      </w:tblPr>
      <w:tblGrid>
        <w:gridCol w:w="1790"/>
        <w:gridCol w:w="1575"/>
        <w:gridCol w:w="1584"/>
        <w:gridCol w:w="109"/>
        <w:gridCol w:w="109"/>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51">
              <w:r>
                <w:rPr>
                  <w:rStyle w:val="InternetLink"/>
                  <w:rFonts w:ascii="Times New Roman;serif" w:hAnsi="Times New Roman;serif"/>
                  <w:b w:val="false"/>
                  <w:color w:val="0000FF"/>
                  <w:sz w:val="20"/>
                  <w:u w:val="single"/>
                </w:rPr>
                <w:t>Note 1: Summary of Significant Accounting Policies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51">
              <w:r>
                <w:rPr>
                  <w:rStyle w:val="InternetLink"/>
                  <w:rFonts w:ascii="Times New Roman;serif" w:hAnsi="Times New Roman;serif"/>
                  <w:b w:val="false"/>
                  <w:color w:val="0000FF"/>
                  <w:sz w:val="20"/>
                  <w:u w:val="single"/>
                </w:rPr>
                <w:t>8</w:t>
              </w:r>
            </w:hyperlink>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69">
              <w:r>
                <w:rPr>
                  <w:rStyle w:val="InternetLink"/>
                  <w:rFonts w:ascii="Times New Roman;serif" w:hAnsi="Times New Roman;serif"/>
                  <w:b w:val="false"/>
                  <w:color w:val="0000FF"/>
                  <w:sz w:val="20"/>
                  <w:u w:val="single"/>
                </w:rPr>
                <w:t>Note 2: Investment Securities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69">
              <w:r>
                <w:rPr>
                  <w:rStyle w:val="InternetLink"/>
                  <w:rFonts w:ascii="Times New Roman;serif" w:hAnsi="Times New Roman;serif"/>
                  <w:b w:val="false"/>
                  <w:color w:val="0000FF"/>
                  <w:sz w:val="20"/>
                  <w:u w:val="single"/>
                </w:rPr>
                <w:t>10</w:t>
              </w:r>
            </w:hyperlink>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78">
              <w:r>
                <w:rPr>
                  <w:rStyle w:val="InternetLink"/>
                  <w:rFonts w:ascii="Times New Roman;serif" w:hAnsi="Times New Roman;serif"/>
                  <w:b w:val="false"/>
                  <w:color w:val="0000FF"/>
                  <w:sz w:val="20"/>
                  <w:u w:val="single"/>
                </w:rPr>
                <w:t>Note 3: Loans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78">
              <w:r>
                <w:rPr>
                  <w:rStyle w:val="InternetLink"/>
                  <w:rFonts w:ascii="Times New Roman;serif" w:hAnsi="Times New Roman;serif"/>
                  <w:b w:val="false"/>
                  <w:color w:val="0000FF"/>
                  <w:sz w:val="20"/>
                  <w:u w:val="single"/>
                </w:rPr>
                <w:t>12</w:t>
              </w:r>
            </w:hyperlink>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84">
              <w:r>
                <w:rPr>
                  <w:rStyle w:val="InternetLink"/>
                  <w:rFonts w:ascii="Times New Roman;serif" w:hAnsi="Times New Roman;serif"/>
                  <w:b w:val="false"/>
                  <w:color w:val="0000FF"/>
                  <w:sz w:val="20"/>
                  <w:u w:val="single"/>
                </w:rPr>
                <w:t>Note 4: Premises, Equipment and Leases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184">
              <w:r>
                <w:rPr>
                  <w:rStyle w:val="InternetLink"/>
                  <w:rFonts w:ascii="Times New Roman;serif" w:hAnsi="Times New Roman;serif"/>
                  <w:b w:val="false"/>
                  <w:color w:val="0000FF"/>
                  <w:sz w:val="20"/>
                  <w:u w:val="single"/>
                </w:rPr>
                <w:t>27</w:t>
              </w:r>
            </w:hyperlink>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08">
              <w:r>
                <w:rPr>
                  <w:rStyle w:val="InternetLink"/>
                  <w:rFonts w:ascii="Times New Roman;serif" w:hAnsi="Times New Roman;serif"/>
                  <w:b w:val="false"/>
                  <w:color w:val="000080"/>
                  <w:sz w:val="20"/>
                  <w:u w:val="single"/>
                </w:rPr>
                <w:t xml:space="preserve">Note </w:t>
              </w:r>
            </w:hyperlink>
            <w:hyperlink w:anchor="i0c81d5caa43e483c8b68b1a8856d6f4b_208">
              <w:r>
                <w:rPr>
                  <w:rStyle w:val="InternetLink"/>
                  <w:rFonts w:ascii="Times New Roman;serif" w:hAnsi="Times New Roman;serif"/>
                  <w:b w:val="false"/>
                  <w:color w:val="000080"/>
                  <w:sz w:val="20"/>
                  <w:u w:val="single"/>
                </w:rPr>
                <w:t>5</w:t>
              </w:r>
            </w:hyperlink>
            <w:hyperlink w:anchor="i0c81d5caa43e483c8b68b1a8856d6f4b_208">
              <w:r>
                <w:rPr>
                  <w:rStyle w:val="InternetLink"/>
                  <w:rFonts w:ascii="Times New Roman;serif" w:hAnsi="Times New Roman;serif"/>
                  <w:b w:val="false"/>
                  <w:color w:val="000080"/>
                  <w:sz w:val="20"/>
                  <w:u w:val="single"/>
                </w:rPr>
                <w:t>: Goodwill</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08">
              <w:r>
                <w:rPr>
                  <w:rStyle w:val="InternetLink"/>
                  <w:rFonts w:ascii="Times New Roman;serif" w:hAnsi="Times New Roman;serif"/>
                  <w:b w:val="false"/>
                  <w:color w:val="0000FF"/>
                  <w:sz w:val="20"/>
                  <w:u w:val="single"/>
                </w:rPr>
                <w:t>28</w:t>
              </w:r>
            </w:hyperlink>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11">
              <w:r>
                <w:rPr>
                  <w:rStyle w:val="InternetLink"/>
                  <w:rFonts w:ascii="Times New Roman;serif" w:hAnsi="Times New Roman;serif"/>
                  <w:b w:val="false"/>
                  <w:color w:val="000080"/>
                  <w:sz w:val="20"/>
                  <w:u w:val="single"/>
                </w:rPr>
                <w:t xml:space="preserve">Note </w:t>
              </w:r>
            </w:hyperlink>
            <w:hyperlink w:anchor="i0c81d5caa43e483c8b68b1a8856d6f4b_211">
              <w:r>
                <w:rPr>
                  <w:rStyle w:val="InternetLink"/>
                  <w:rFonts w:ascii="Times New Roman;serif" w:hAnsi="Times New Roman;serif"/>
                  <w:b w:val="false"/>
                  <w:color w:val="000080"/>
                  <w:sz w:val="20"/>
                  <w:u w:val="single"/>
                </w:rPr>
                <w:t>6</w:t>
              </w:r>
            </w:hyperlink>
            <w:hyperlink w:anchor="i0c81d5caa43e483c8b68b1a8856d6f4b_211">
              <w:r>
                <w:rPr>
                  <w:rStyle w:val="InternetLink"/>
                  <w:rFonts w:ascii="Times New Roman;serif" w:hAnsi="Times New Roman;serif"/>
                  <w:b w:val="false"/>
                  <w:color w:val="000080"/>
                  <w:sz w:val="20"/>
                  <w:u w:val="single"/>
                </w:rPr>
                <w:t>: Derivative Instruments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11">
              <w:r>
                <w:rPr>
                  <w:rStyle w:val="InternetLink"/>
                  <w:rFonts w:ascii="Times New Roman;serif" w:hAnsi="Times New Roman;serif"/>
                  <w:b w:val="false"/>
                  <w:color w:val="0000FF"/>
                  <w:sz w:val="20"/>
                  <w:u w:val="single"/>
                </w:rPr>
                <w:t>28</w:t>
              </w:r>
            </w:hyperlink>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17">
              <w:r>
                <w:rPr>
                  <w:rStyle w:val="InternetLink"/>
                  <w:rFonts w:ascii="Times New Roman;serif" w:hAnsi="Times New Roman;serif"/>
                  <w:b w:val="false"/>
                  <w:color w:val="000080"/>
                  <w:sz w:val="20"/>
                  <w:u w:val="single"/>
                </w:rPr>
                <w:t xml:space="preserve">Note </w:t>
              </w:r>
            </w:hyperlink>
            <w:hyperlink w:anchor="i0c81d5caa43e483c8b68b1a8856d6f4b_217">
              <w:r>
                <w:rPr>
                  <w:rStyle w:val="InternetLink"/>
                  <w:rFonts w:ascii="Times New Roman;serif" w:hAnsi="Times New Roman;serif"/>
                  <w:b w:val="false"/>
                  <w:color w:val="000080"/>
                  <w:sz w:val="20"/>
                  <w:u w:val="single"/>
                </w:rPr>
                <w:t>7</w:t>
              </w:r>
            </w:hyperlink>
            <w:hyperlink w:anchor="i0c81d5caa43e483c8b68b1a8856d6f4b_217">
              <w:r>
                <w:rPr>
                  <w:rStyle w:val="InternetLink"/>
                  <w:rFonts w:ascii="Times New Roman;serif" w:hAnsi="Times New Roman;serif"/>
                  <w:b w:val="false"/>
                  <w:color w:val="000080"/>
                  <w:sz w:val="20"/>
                  <w:u w:val="single"/>
                </w:rPr>
                <w:t>: Deposits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17">
              <w:r>
                <w:rPr>
                  <w:rStyle w:val="InternetLink"/>
                  <w:rFonts w:ascii="Times New Roman;serif" w:hAnsi="Times New Roman;serif"/>
                  <w:b w:val="false"/>
                  <w:color w:val="0000FF"/>
                  <w:sz w:val="20"/>
                  <w:u w:val="single"/>
                </w:rPr>
                <w:t>30</w:t>
              </w:r>
            </w:hyperlink>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23">
              <w:r>
                <w:rPr>
                  <w:rStyle w:val="InternetLink"/>
                  <w:rFonts w:ascii="Times New Roman;serif" w:hAnsi="Times New Roman;serif"/>
                  <w:b w:val="false"/>
                  <w:color w:val="000080"/>
                  <w:sz w:val="20"/>
                  <w:u w:val="single"/>
                </w:rPr>
                <w:t xml:space="preserve">Note </w:t>
              </w:r>
            </w:hyperlink>
            <w:hyperlink w:anchor="i0c81d5caa43e483c8b68b1a8856d6f4b_223">
              <w:r>
                <w:rPr>
                  <w:rStyle w:val="InternetLink"/>
                  <w:rFonts w:ascii="Times New Roman;serif" w:hAnsi="Times New Roman;serif"/>
                  <w:b w:val="false"/>
                  <w:color w:val="000080"/>
                  <w:sz w:val="20"/>
                  <w:u w:val="single"/>
                </w:rPr>
                <w:t>8</w:t>
              </w:r>
            </w:hyperlink>
            <w:hyperlink w:anchor="i0c81d5caa43e483c8b68b1a8856d6f4b_223">
              <w:r>
                <w:rPr>
                  <w:rStyle w:val="InternetLink"/>
                  <w:rFonts w:ascii="Times New Roman;serif" w:hAnsi="Times New Roman;serif"/>
                  <w:b w:val="false"/>
                  <w:color w:val="000080"/>
                  <w:sz w:val="20"/>
                  <w:u w:val="single"/>
                </w:rPr>
                <w:t>: Short-</w:t>
              </w:r>
            </w:hyperlink>
            <w:hyperlink w:anchor="i0c81d5caa43e483c8b68b1a8856d6f4b_223">
              <w:r>
                <w:rPr>
                  <w:rStyle w:val="InternetLink"/>
                  <w:rFonts w:ascii="Times New Roman;serif" w:hAnsi="Times New Roman;serif"/>
                  <w:b w:val="false"/>
                  <w:color w:val="000080"/>
                  <w:sz w:val="20"/>
                  <w:u w:val="single"/>
                </w:rPr>
                <w:t>T</w:t>
              </w:r>
            </w:hyperlink>
            <w:hyperlink w:anchor="i0c81d5caa43e483c8b68b1a8856d6f4b_223">
              <w:r>
                <w:rPr>
                  <w:rStyle w:val="InternetLink"/>
                  <w:rFonts w:ascii="Times New Roman;serif" w:hAnsi="Times New Roman;serif"/>
                  <w:b w:val="false"/>
                  <w:color w:val="000080"/>
                  <w:sz w:val="20"/>
                  <w:u w:val="single"/>
                </w:rPr>
                <w:t>erm Borrowings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23">
              <w:r>
                <w:rPr>
                  <w:rStyle w:val="InternetLink"/>
                  <w:rFonts w:ascii="Times New Roman;serif" w:hAnsi="Times New Roman;serif"/>
                  <w:b w:val="false"/>
                  <w:color w:val="0000FF"/>
                  <w:sz w:val="20"/>
                  <w:u w:val="single"/>
                </w:rPr>
                <w:t>30</w:t>
              </w:r>
            </w:hyperlink>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26">
              <w:r>
                <w:rPr>
                  <w:rStyle w:val="InternetLink"/>
                  <w:rFonts w:ascii="Times New Roman;serif" w:hAnsi="Times New Roman;serif"/>
                  <w:b w:val="false"/>
                  <w:color w:val="000080"/>
                  <w:sz w:val="20"/>
                  <w:u w:val="single"/>
                </w:rPr>
                <w:t xml:space="preserve">Note </w:t>
              </w:r>
            </w:hyperlink>
            <w:hyperlink w:anchor="i0c81d5caa43e483c8b68b1a8856d6f4b_226">
              <w:r>
                <w:rPr>
                  <w:rStyle w:val="InternetLink"/>
                  <w:rFonts w:ascii="Times New Roman;serif" w:hAnsi="Times New Roman;serif"/>
                  <w:b w:val="false"/>
                  <w:color w:val="000080"/>
                  <w:sz w:val="20"/>
                  <w:u w:val="single"/>
                </w:rPr>
                <w:t>9</w:t>
              </w:r>
            </w:hyperlink>
            <w:hyperlink w:anchor="i0c81d5caa43e483c8b68b1a8856d6f4b_226">
              <w:r>
                <w:rPr>
                  <w:rStyle w:val="InternetLink"/>
                  <w:rFonts w:ascii="Times New Roman;serif" w:hAnsi="Times New Roman;serif"/>
                  <w:b w:val="false"/>
                  <w:color w:val="000080"/>
                  <w:sz w:val="20"/>
                  <w:u w:val="single"/>
                </w:rPr>
                <w:t>: FHLB Advances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26">
              <w:r>
                <w:rPr>
                  <w:rStyle w:val="InternetLink"/>
                  <w:rFonts w:ascii="Times New Roman;serif" w:hAnsi="Times New Roman;serif"/>
                  <w:b w:val="false"/>
                  <w:color w:val="0000FF"/>
                  <w:sz w:val="20"/>
                  <w:u w:val="single"/>
                </w:rPr>
                <w:t>31</w:t>
              </w:r>
            </w:hyperlink>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32">
              <w:r>
                <w:rPr>
                  <w:rStyle w:val="InternetLink"/>
                  <w:rFonts w:ascii="Times New Roman;serif" w:hAnsi="Times New Roman;serif"/>
                  <w:b w:val="false"/>
                  <w:color w:val="000080"/>
                  <w:sz w:val="20"/>
                  <w:u w:val="single"/>
                </w:rPr>
                <w:t xml:space="preserve">Note </w:t>
              </w:r>
            </w:hyperlink>
            <w:hyperlink w:anchor="i0c81d5caa43e483c8b68b1a8856d6f4b_232">
              <w:r>
                <w:rPr>
                  <w:rStyle w:val="InternetLink"/>
                  <w:rFonts w:ascii="Times New Roman;serif" w:hAnsi="Times New Roman;serif"/>
                  <w:b w:val="false"/>
                  <w:color w:val="000080"/>
                  <w:sz w:val="20"/>
                  <w:u w:val="single"/>
                </w:rPr>
                <w:t>10</w:t>
              </w:r>
            </w:hyperlink>
            <w:hyperlink w:anchor="i0c81d5caa43e483c8b68b1a8856d6f4b_232">
              <w:r>
                <w:rPr>
                  <w:rStyle w:val="InternetLink"/>
                  <w:rFonts w:ascii="Times New Roman;serif" w:hAnsi="Times New Roman;serif"/>
                  <w:b w:val="false"/>
                  <w:color w:val="000080"/>
                  <w:sz w:val="20"/>
                  <w:u w:val="single"/>
                </w:rPr>
                <w:t>: Subordinated Debt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32">
              <w:r>
                <w:rPr>
                  <w:rStyle w:val="InternetLink"/>
                  <w:rFonts w:ascii="Times New Roman;serif" w:hAnsi="Times New Roman;serif"/>
                  <w:b w:val="false"/>
                  <w:color w:val="0000FF"/>
                  <w:sz w:val="20"/>
                  <w:u w:val="single"/>
                </w:rPr>
                <w:t>31</w:t>
              </w:r>
            </w:hyperlink>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41">
              <w:r>
                <w:rPr>
                  <w:rStyle w:val="InternetLink"/>
                  <w:rFonts w:ascii="Times New Roman;serif" w:hAnsi="Times New Roman;serif"/>
                  <w:b w:val="false"/>
                  <w:color w:val="000080"/>
                  <w:sz w:val="20"/>
                  <w:u w:val="single"/>
                </w:rPr>
                <w:t xml:space="preserve">Note </w:t>
              </w:r>
            </w:hyperlink>
            <w:hyperlink w:anchor="i0c81d5caa43e483c8b68b1a8856d6f4b_241">
              <w:r>
                <w:rPr>
                  <w:rStyle w:val="InternetLink"/>
                  <w:rFonts w:ascii="Times New Roman;serif" w:hAnsi="Times New Roman;serif"/>
                  <w:b w:val="false"/>
                  <w:color w:val="000080"/>
                  <w:sz w:val="20"/>
                  <w:u w:val="single"/>
                </w:rPr>
                <w:t>11</w:t>
              </w:r>
            </w:hyperlink>
            <w:hyperlink w:anchor="i0c81d5caa43e483c8b68b1a8856d6f4b_241">
              <w:r>
                <w:rPr>
                  <w:rStyle w:val="InternetLink"/>
                  <w:rFonts w:ascii="Times New Roman;serif" w:hAnsi="Times New Roman;serif"/>
                  <w:b w:val="false"/>
                  <w:color w:val="000080"/>
                  <w:sz w:val="20"/>
                  <w:u w:val="single"/>
                </w:rPr>
                <w:t>: Accumulated Other Comprehensive Income</w:t>
              </w:r>
            </w:hyperlink>
            <w:hyperlink w:anchor="i0c81d5caa43e483c8b68b1a8856d6f4b_241">
              <w:r>
                <w:rPr>
                  <w:rStyle w:val="InternetLink"/>
                  <w:rFonts w:ascii="Times New Roman;serif" w:hAnsi="Times New Roman;serif"/>
                  <w:b w:val="false"/>
                  <w:color w:val="000080"/>
                  <w:sz w:val="20"/>
                  <w:u w:val="single"/>
                </w:rPr>
                <w:t xml:space="preserve"> (Loss)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41">
              <w:r>
                <w:rPr>
                  <w:rStyle w:val="InternetLink"/>
                  <w:rFonts w:ascii="Times New Roman;serif" w:hAnsi="Times New Roman;serif"/>
                  <w:b w:val="false"/>
                  <w:color w:val="0000FF"/>
                  <w:sz w:val="20"/>
                  <w:u w:val="single"/>
                </w:rPr>
                <w:t>32</w:t>
              </w:r>
            </w:hyperlink>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62">
              <w:r>
                <w:rPr>
                  <w:rStyle w:val="InternetLink"/>
                  <w:rFonts w:ascii="Times New Roman;serif" w:hAnsi="Times New Roman;serif"/>
                  <w:b w:val="false"/>
                  <w:color w:val="000080"/>
                  <w:sz w:val="20"/>
                  <w:u w:val="single"/>
                </w:rPr>
                <w:t xml:space="preserve">Note </w:t>
              </w:r>
            </w:hyperlink>
            <w:hyperlink w:anchor="i0c81d5caa43e483c8b68b1a8856d6f4b_262">
              <w:r>
                <w:rPr>
                  <w:rStyle w:val="InternetLink"/>
                  <w:rFonts w:ascii="Times New Roman;serif" w:hAnsi="Times New Roman;serif"/>
                  <w:b w:val="false"/>
                  <w:color w:val="000080"/>
                  <w:sz w:val="20"/>
                  <w:u w:val="single"/>
                </w:rPr>
                <w:t>12</w:t>
              </w:r>
            </w:hyperlink>
            <w:hyperlink w:anchor="i0c81d5caa43e483c8b68b1a8856d6f4b_262">
              <w:r>
                <w:rPr>
                  <w:rStyle w:val="InternetLink"/>
                  <w:rFonts w:ascii="Times New Roman;serif" w:hAnsi="Times New Roman;serif"/>
                  <w:b w:val="false"/>
                  <w:color w:val="000080"/>
                  <w:sz w:val="20"/>
                  <w:u w:val="single"/>
                </w:rPr>
                <w:t>: Earnings per Common Share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62">
              <w:r>
                <w:rPr>
                  <w:rStyle w:val="InternetLink"/>
                  <w:rFonts w:ascii="Times New Roman;serif" w:hAnsi="Times New Roman;serif"/>
                  <w:b w:val="false"/>
                  <w:color w:val="0000FF"/>
                  <w:sz w:val="20"/>
                  <w:u w:val="single"/>
                </w:rPr>
                <w:t>33</w:t>
              </w:r>
            </w:hyperlink>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71">
              <w:r>
                <w:rPr>
                  <w:rStyle w:val="InternetLink"/>
                  <w:rFonts w:ascii="Times New Roman;serif" w:hAnsi="Times New Roman;serif"/>
                  <w:b w:val="false"/>
                  <w:color w:val="000080"/>
                  <w:sz w:val="20"/>
                  <w:u w:val="single"/>
                </w:rPr>
                <w:t xml:space="preserve">Note </w:t>
              </w:r>
            </w:hyperlink>
            <w:hyperlink w:anchor="i0c81d5caa43e483c8b68b1a8856d6f4b_271">
              <w:r>
                <w:rPr>
                  <w:rStyle w:val="InternetLink"/>
                  <w:rFonts w:ascii="Times New Roman;serif" w:hAnsi="Times New Roman;serif"/>
                  <w:b w:val="false"/>
                  <w:color w:val="000080"/>
                  <w:sz w:val="20"/>
                  <w:u w:val="single"/>
                </w:rPr>
                <w:t>13</w:t>
              </w:r>
            </w:hyperlink>
            <w:hyperlink w:anchor="i0c81d5caa43e483c8b68b1a8856d6f4b_271">
              <w:r>
                <w:rPr>
                  <w:rStyle w:val="InternetLink"/>
                  <w:rFonts w:ascii="Times New Roman;serif" w:hAnsi="Times New Roman;serif"/>
                  <w:b w:val="false"/>
                  <w:color w:val="000080"/>
                  <w:sz w:val="20"/>
                  <w:u w:val="single"/>
                </w:rPr>
                <w:t>: Fair Value of Financial Instruments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71">
              <w:r>
                <w:rPr>
                  <w:rStyle w:val="InternetLink"/>
                  <w:rFonts w:ascii="Times New Roman;serif" w:hAnsi="Times New Roman;serif"/>
                  <w:b w:val="false"/>
                  <w:color w:val="0000FF"/>
                  <w:sz w:val="20"/>
                  <w:u w:val="single"/>
                </w:rPr>
                <w:t>33</w:t>
              </w:r>
            </w:hyperlink>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80">
              <w:r>
                <w:rPr>
                  <w:rStyle w:val="InternetLink"/>
                  <w:rFonts w:ascii="Times New Roman;serif" w:hAnsi="Times New Roman;serif"/>
                  <w:b w:val="false"/>
                  <w:color w:val="000080"/>
                  <w:sz w:val="20"/>
                  <w:u w:val="single"/>
                </w:rPr>
                <w:t xml:space="preserve">Note </w:t>
              </w:r>
            </w:hyperlink>
            <w:hyperlink w:anchor="i0c81d5caa43e483c8b68b1a8856d6f4b_280">
              <w:r>
                <w:rPr>
                  <w:rStyle w:val="InternetLink"/>
                  <w:rFonts w:ascii="Times New Roman;serif" w:hAnsi="Times New Roman;serif"/>
                  <w:b w:val="false"/>
                  <w:color w:val="000080"/>
                  <w:sz w:val="20"/>
                  <w:u w:val="single"/>
                </w:rPr>
                <w:t>14</w:t>
              </w:r>
            </w:hyperlink>
            <w:hyperlink w:anchor="i0c81d5caa43e483c8b68b1a8856d6f4b_280">
              <w:r>
                <w:rPr>
                  <w:rStyle w:val="InternetLink"/>
                  <w:rFonts w:ascii="Times New Roman;serif" w:hAnsi="Times New Roman;serif"/>
                  <w:b w:val="false"/>
                  <w:color w:val="000080"/>
                  <w:sz w:val="20"/>
                  <w:u w:val="single"/>
                </w:rPr>
                <w:t>: Commitments, Contingencies and Credit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80">
              <w:r>
                <w:rPr>
                  <w:rStyle w:val="InternetLink"/>
                  <w:rFonts w:ascii="Times New Roman;serif" w:hAnsi="Times New Roman;serif"/>
                  <w:b w:val="false"/>
                  <w:color w:val="0000FF"/>
                  <w:sz w:val="20"/>
                  <w:u w:val="single"/>
                </w:rPr>
                <w:t>38</w:t>
              </w:r>
            </w:hyperlink>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83">
              <w:r>
                <w:rPr>
                  <w:rStyle w:val="InternetLink"/>
                  <w:rFonts w:ascii="Times New Roman;serif" w:hAnsi="Times New Roman;serif"/>
                  <w:b w:val="false"/>
                  <w:color w:val="000080"/>
                  <w:sz w:val="20"/>
                  <w:u w:val="single"/>
                </w:rPr>
                <w:t>Note 1</w:t>
              </w:r>
            </w:hyperlink>
            <w:hyperlink w:anchor="i0c81d5caa43e483c8b68b1a8856d6f4b_283">
              <w:r>
                <w:rPr>
                  <w:rStyle w:val="InternetLink"/>
                  <w:rFonts w:ascii="Times New Roman;serif" w:hAnsi="Times New Roman;serif"/>
                  <w:b w:val="false"/>
                  <w:color w:val="000080"/>
                  <w:sz w:val="20"/>
                  <w:u w:val="single"/>
                </w:rPr>
                <w:t>5</w:t>
              </w:r>
            </w:hyperlink>
            <w:hyperlink w:anchor="i0c81d5caa43e483c8b68b1a8856d6f4b_283">
              <w:r>
                <w:rPr>
                  <w:rStyle w:val="InternetLink"/>
                  <w:rFonts w:ascii="Times New Roman;serif" w:hAnsi="Times New Roman;serif"/>
                  <w:b w:val="false"/>
                  <w:color w:val="000080"/>
                  <w:sz w:val="20"/>
                  <w:u w:val="single"/>
                </w:rPr>
                <w:t>: Segment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83">
              <w:r>
                <w:rPr>
                  <w:rStyle w:val="InternetLink"/>
                  <w:rFonts w:ascii="Times New Roman;serif" w:hAnsi="Times New Roman;serif"/>
                  <w:b w:val="false"/>
                  <w:color w:val="0000FF"/>
                  <w:sz w:val="20"/>
                  <w:u w:val="single"/>
                </w:rPr>
                <w:t>39</w:t>
              </w:r>
            </w:hyperlink>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92">
              <w:r>
                <w:rPr>
                  <w:rStyle w:val="InternetLink"/>
                  <w:rFonts w:ascii="Times New Roman;serif" w:hAnsi="Times New Roman;serif"/>
                  <w:b w:val="false"/>
                  <w:color w:val="000080"/>
                  <w:sz w:val="20"/>
                  <w:u w:val="single"/>
                </w:rPr>
                <w:t>Note 1</w:t>
              </w:r>
            </w:hyperlink>
            <w:hyperlink w:anchor="i0c81d5caa43e483c8b68b1a8856d6f4b_292">
              <w:r>
                <w:rPr>
                  <w:rStyle w:val="InternetLink"/>
                  <w:rFonts w:ascii="Times New Roman;serif" w:hAnsi="Times New Roman;serif"/>
                  <w:b w:val="false"/>
                  <w:color w:val="000080"/>
                  <w:sz w:val="20"/>
                  <w:u w:val="single"/>
                </w:rPr>
                <w:t>6</w:t>
              </w:r>
            </w:hyperlink>
            <w:hyperlink w:anchor="i0c81d5caa43e483c8b68b1a8856d6f4b_292">
              <w:r>
                <w:rPr>
                  <w:rStyle w:val="InternetLink"/>
                  <w:rFonts w:ascii="Times New Roman;serif" w:hAnsi="Times New Roman;serif"/>
                  <w:b w:val="false"/>
                  <w:color w:val="000080"/>
                  <w:sz w:val="20"/>
                  <w:u w:val="single"/>
                </w:rPr>
                <w:t>: Revenue from Contracts with Customers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81d5caa43e483c8b68b1a8856d6f4b_292">
              <w:r>
                <w:rPr>
                  <w:rStyle w:val="InternetLink"/>
                  <w:rFonts w:ascii="Times New Roman;serif" w:hAnsi="Times New Roman;serif"/>
                  <w:b w:val="false"/>
                  <w:color w:val="0000FF"/>
                  <w:sz w:val="20"/>
                  <w:u w:val="single"/>
                </w:rPr>
                <w:t>41</w:t>
              </w:r>
            </w:hyperlink>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 – SUMMARY OF SIGNIFICANT ACCOUNTING POLICIES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Midland States Bancorp, Inc. is a diversified financial holding company headquartered in Effingham, Illinois. Our wholly owned banking subsidiary, Midland States Bank, has branches across Illinois and in Missouri, and provides a full range of commercial and consumer banking products and services, merchant credit card services, trust and investment management services, and insurance and financial planning services.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business activity is lending to and accepting deposits from individuals, businesses, municipalities and other entities. We have derived income principally from interest charged on loans and, to a lesser extent, from interest and dividends earned on investment securities. We have also derived income from noninterest sources, such as: fees received in connection with various lending and deposit services; wealth management services; mortgage loan originations, sales and servicing; and, from time to time, gains on sales of assets. Our principal expenses include interest expense on deposits and borrowings, operating expenses, such as salaries and employee benefits, occupancy and equipment expenses, data processing costs, professional fees and other noninterest expenses, provisions for credit losses and income taxes.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the Company have been prepared in accordance with GAAP and guidance provided by the SEC for interim financial information. Accordingly, the condensed financial statements do not include all of the information and footnotes required by GAAP for completed financial statements. The preparation of consolidated financial statements in conformity with GAAP requires management to make estimates and assumptions that affect the amounts reported in the consolidated financial statements and accompanying notes. Actual results may differ from these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the Company should be read in conjunction with the consolidated financial statements and related notes contained in the Company’s Annual Report on Form 10-K for the year ended December 31, 2025, filed with the SEC on March 2, 2026. Certain reclassifications of 2025 amounts have been made to conform to the 2026 presentation. All significant transactions and accounts between subsidiaries have been eliminated. Assets held for customers in a fiduciary or agency capacity are not assets of the Company and, accordingly, other than trust cash on deposit with the Bank, are not included in the accompanying unaudited balance sheets. Management has evaluated subsequent events for potential recognition or disclosure. Operating results for the three months ended March 31, 2026 are not necessarily indicative of the results that may be expected for the year ending December 31, 2026 or any other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Accounting Guidance Not Yet Adopted</w:t>
      </w:r>
    </w:p>
    <w:p>
      <w:pPr>
        <w:pStyle w:val="TextBody"/>
        <w:bidi w:val="0"/>
        <w:spacing w:lineRule="auto" w:line="288" w:before="0" w:after="0"/>
        <w:ind w:left="0" w:right="0" w:firstLine="720"/>
        <w:jc w:val="left"/>
        <w:rPr/>
      </w:pPr>
      <w:r>
        <w:rPr>
          <w:rFonts w:ascii="Times New Roman;serif" w:hAnsi="Times New Roman;serif"/>
          <w:b/>
          <w:i/>
          <w:color w:val="000000"/>
          <w:sz w:val="20"/>
        </w:rPr>
        <w:t>FASB ASU No. 2024-03, 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 In November 2024, the FASB issued ASU 2024-03 in order to improve the disclosures about a public business entity's expenses and address requests from investors for more detailed information about the types of expenses in commonly presented expense captions. The amendments in ASU 2024-03 require disclosure, in the notes to the financial statements, of specified information about certain costs and expenses in interim and year-end reporting periods. The amendments in this ASU apply to all public business entities and are effective for annual reporting periods beginning after December 15, 2026, and interim reporting periods beginning after December 15, 2027. Early adoption is permitted. The amendments are to be applied either (1) prospectively to financial statements issued for reporting periods after the effective date or (2) retrospectively to any or all prior periods presented in the financial statements. The Company will update the related disclosures upon adoption.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FASB ASU No. 2025-06, Intangibles - 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 In September 2025, the FASB issued ASU 2025-06, changing the criteria for capitalizing software costs to the following: (1) a commitment has been made to fund the software project, and (2) it is probable the project will be completed and used to perform its intended function. Under this update, software development stages are no longer a consideration in the determination of which costs are capitalized. The amendments in this update may be adopted on a prospective, modified transition, or retrospective basis, and will be effective for the Company for annual and interim reporting periods beginning January 1, 2028. Early adoption is permitted. The Company is currently evaluating the effect this ASU may have on its financial position and results of operations.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2 – INVESTMENT SECURITIES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Investment Securities Available for Sale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 for sale at March 31, 2026 and December 31, 2025 were as follows:</w:t>
      </w:r>
    </w:p>
    <w:tbl>
      <w:tblPr>
        <w:tblW w:w="9922" w:type="dxa"/>
        <w:jc w:val="left"/>
        <w:tblInd w:w="0" w:type="dxa"/>
        <w:tblLayout w:type="fixed"/>
        <w:tblCellMar>
          <w:top w:w="28" w:type="dxa"/>
          <w:left w:w="28" w:type="dxa"/>
          <w:bottom w:w="28" w:type="dxa"/>
          <w:right w:w="28" w:type="dxa"/>
        </w:tblCellMar>
      </w:tblPr>
      <w:tblGrid>
        <w:gridCol w:w="1605"/>
        <w:gridCol w:w="1414"/>
        <w:gridCol w:w="1420"/>
        <w:gridCol w:w="196"/>
        <w:gridCol w:w="871"/>
        <w:gridCol w:w="109"/>
        <w:gridCol w:w="109"/>
        <w:gridCol w:w="109"/>
        <w:gridCol w:w="109"/>
        <w:gridCol w:w="196"/>
        <w:gridCol w:w="556"/>
        <w:gridCol w:w="109"/>
        <w:gridCol w:w="109"/>
        <w:gridCol w:w="109"/>
        <w:gridCol w:w="109"/>
        <w:gridCol w:w="196"/>
        <w:gridCol w:w="721"/>
        <w:gridCol w:w="109"/>
        <w:gridCol w:w="109"/>
        <w:gridCol w:w="109"/>
        <w:gridCol w:w="109"/>
        <w:gridCol w:w="109"/>
        <w:gridCol w:w="109"/>
        <w:gridCol w:w="196"/>
        <w:gridCol w:w="871"/>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548" w:type="dxa"/>
            <w:gridSpan w:val="6"/>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 available for sale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sponsored entities and U.S.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Mortgage-backed securities - agency </w:t>
            </w:r>
            <w:r>
              <w:rPr>
                <w:rFonts w:ascii="Times New Roman;serif" w:hAnsi="Times New Roman;serif"/>
                <w:b w:val="false"/>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student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municipal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loan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available for sale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1,592,555 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left"/>
        <w:rPr/>
      </w:pPr>
      <w:r>
        <w:rPr>
          <w:rFonts w:ascii="Times New Roman;serif" w:hAnsi="Times New Roman;serif"/>
          <w:b w:val="false"/>
          <w:color w:val="000000"/>
          <w:sz w:val="16"/>
        </w:rPr>
        <w:t>(1)The amount of fair value hedging adjustment included in the amortized cost amount of the hedged investment securities available-for-sale as of March 31, 2026</w:t>
      </w:r>
      <w:r>
        <w:rPr>
          <w:color w:val="000000"/>
        </w:rPr>
        <w:t xml:space="preserve"> </w:t>
      </w:r>
      <w:r>
        <w:rPr>
          <w:rFonts w:ascii="Times New Roman;serif" w:hAnsi="Times New Roman;serif"/>
          <w:b w:val="false"/>
          <w:color w:val="000000"/>
          <w:sz w:val="16"/>
        </w:rPr>
        <w:t xml:space="preserve">was $(0.9) million. See Note 6 - </w:t>
      </w:r>
      <w:r>
        <w:rPr>
          <w:rFonts w:ascii="Times New Roman;serif" w:hAnsi="Times New Roman;serif"/>
          <w:b w:val="false"/>
          <w:i/>
          <w:color w:val="000000"/>
          <w:sz w:val="16"/>
        </w:rPr>
        <w:t xml:space="preserve">Derivative Instruments </w:t>
      </w:r>
      <w:r>
        <w:rPr>
          <w:rFonts w:ascii="Times New Roman;serif" w:hAnsi="Times New Roman;serif"/>
          <w:b w:val="false"/>
          <w:color w:val="000000"/>
          <w:sz w:val="16"/>
        </w:rPr>
        <w:t>for additional information regarding these derivative financial instruments.</w:t>
      </w:r>
    </w:p>
    <w:p>
      <w:pPr>
        <w:pStyle w:val="TextBody"/>
        <w:bidi w:val="0"/>
        <w:spacing w:before="20" w:after="283"/>
        <w:ind w:left="0" w:right="0" w:firstLine="720"/>
        <w:jc w:val="left"/>
        <w:rPr/>
      </w:pPr>
      <w:r>
        <w:rPr/>
      </w:r>
    </w:p>
    <w:tbl>
      <w:tblPr>
        <w:tblW w:w="9922" w:type="dxa"/>
        <w:jc w:val="left"/>
        <w:tblInd w:w="0" w:type="dxa"/>
        <w:tblLayout w:type="fixed"/>
        <w:tblCellMar>
          <w:top w:w="28" w:type="dxa"/>
          <w:left w:w="28" w:type="dxa"/>
          <w:bottom w:w="28" w:type="dxa"/>
          <w:right w:w="28" w:type="dxa"/>
        </w:tblCellMar>
      </w:tblPr>
      <w:tblGrid>
        <w:gridCol w:w="1605"/>
        <w:gridCol w:w="1414"/>
        <w:gridCol w:w="1420"/>
        <w:gridCol w:w="196"/>
        <w:gridCol w:w="871"/>
        <w:gridCol w:w="109"/>
        <w:gridCol w:w="109"/>
        <w:gridCol w:w="109"/>
        <w:gridCol w:w="109"/>
        <w:gridCol w:w="196"/>
        <w:gridCol w:w="556"/>
        <w:gridCol w:w="109"/>
        <w:gridCol w:w="109"/>
        <w:gridCol w:w="109"/>
        <w:gridCol w:w="109"/>
        <w:gridCol w:w="196"/>
        <w:gridCol w:w="721"/>
        <w:gridCol w:w="109"/>
        <w:gridCol w:w="109"/>
        <w:gridCol w:w="109"/>
        <w:gridCol w:w="109"/>
        <w:gridCol w:w="109"/>
        <w:gridCol w:w="109"/>
        <w:gridCol w:w="196"/>
        <w:gridCol w:w="871"/>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330" w:type="dxa"/>
            <w:gridSpan w:val="4"/>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 available for sale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sponsored entities and U.S.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Mortgage-backed securities - agency </w:t>
            </w:r>
            <w:r>
              <w:rPr>
                <w:rFonts w:ascii="Times New Roman;serif" w:hAnsi="Times New Roman;serif"/>
                <w:b w:val="false"/>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student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municipal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loan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available for sale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1,523,001 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40"/>
        <w:ind w:left="0" w:right="0" w:hanging="360"/>
        <w:jc w:val="left"/>
        <w:rPr/>
      </w:pPr>
      <w:r>
        <w:rPr>
          <w:rFonts w:ascii="Times New Roman;serif" w:hAnsi="Times New Roman;serif"/>
          <w:b w:val="false"/>
          <w:color w:val="000000"/>
          <w:sz w:val="16"/>
        </w:rPr>
        <w:t xml:space="preserve">(1)The amount of fair value hedging adjustment included in the amortized cost amount of the hedged investment securities available-for-sale as of December 31, 2025 was $(2.3) million. See Note 6 - </w:t>
      </w:r>
      <w:r>
        <w:rPr>
          <w:rFonts w:ascii="Times New Roman;serif" w:hAnsi="Times New Roman;serif"/>
          <w:b w:val="false"/>
          <w:i/>
          <w:color w:val="000000"/>
          <w:sz w:val="16"/>
        </w:rPr>
        <w:t xml:space="preserve">Derivative Instruments </w:t>
      </w:r>
      <w:r>
        <w:rPr>
          <w:rFonts w:ascii="Times New Roman;serif" w:hAnsi="Times New Roman;serif"/>
          <w:b w:val="false"/>
          <w:color w:val="000000"/>
          <w:sz w:val="16"/>
        </w:rPr>
        <w:t>for additional information regarding these derivative financial instruments.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Excluding securities issued or backed by U.S. government or its sponsored entities and agencies, there were no investments in securities from one issuer that exceeded 10% of shareholders' equity as of March 31, 2026 and December 31, 2025</w:t>
      </w:r>
      <w:r>
        <w:rPr>
          <w:rFonts w:ascii="Times New Roman;serif" w:hAnsi="Times New Roman;serif"/>
          <w:b w:val="false"/>
          <w:color w:val="212529"/>
          <w:sz w:val="20"/>
        </w:rPr>
        <w:t>.</w:t>
      </w:r>
    </w:p>
    <w:p>
      <w:pPr>
        <w:pStyle w:val="TextBody"/>
        <w:bidi w:val="0"/>
        <w:spacing w:before="240" w:after="240"/>
        <w:ind w:left="0" w:right="0" w:firstLine="720"/>
        <w:jc w:val="left"/>
        <w:rPr/>
      </w:pPr>
      <w:r>
        <w:rPr/>
      </w:r>
    </w:p>
    <w:p>
      <w:pPr>
        <w:pStyle w:val="TextBody"/>
        <w:bidi w:val="0"/>
        <w:spacing w:before="240" w:after="240"/>
        <w:ind w:left="0" w:right="0" w:firstLine="720"/>
        <w:jc w:val="left"/>
        <w:rPr/>
      </w:pPr>
      <w:r>
        <w:rPr/>
      </w:r>
    </w:p>
    <w:p>
      <w:pPr>
        <w:pStyle w:val="TextBody"/>
        <w:bidi w:val="0"/>
        <w:spacing w:before="240" w:after="240"/>
        <w:ind w:left="0" w:right="0" w:firstLine="720"/>
        <w:jc w:val="left"/>
        <w:rPr/>
      </w:pPr>
      <w:r>
        <w:rPr/>
      </w:r>
    </w:p>
    <w:p>
      <w:pPr>
        <w:pStyle w:val="TextBody"/>
        <w:bidi w:val="0"/>
        <w:spacing w:before="240" w:after="240"/>
        <w:ind w:left="0" w:right="0" w:firstLine="720"/>
        <w:jc w:val="left"/>
        <w:rPr/>
      </w:pPr>
      <w:r>
        <w:rPr/>
      </w:r>
    </w:p>
    <w:p>
      <w:pPr>
        <w:pStyle w:val="TextBody"/>
        <w:bidi w:val="0"/>
        <w:spacing w:before="240" w:after="240"/>
        <w:ind w:left="0" w:right="0" w:firstLine="720"/>
        <w:jc w:val="left"/>
        <w:rPr/>
      </w:pPr>
      <w:r>
        <w:rPr/>
      </w:r>
    </w:p>
    <w:p>
      <w:pPr>
        <w:pStyle w:val="TextBody"/>
        <w:bidi w:val="0"/>
        <w:spacing w:before="240" w:after="240"/>
        <w:ind w:left="0" w:right="0" w:firstLine="720"/>
        <w:jc w:val="left"/>
        <w:rPr/>
      </w:pPr>
      <w:r>
        <w:rPr/>
      </w:r>
    </w:p>
    <w:p>
      <w:pPr>
        <w:pStyle w:val="TextBody"/>
        <w:bidi w:val="0"/>
        <w:spacing w:before="24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shows the amortized cost and fair value of the investment securities portfolio by contractual maturity for all securities other than mortgage-backed securities, as of March 31, 2026. Expected maturities may differ from contractual maturities if borrowers have the right to call or prepay obligations with or without call or prepayment penalties. Securities not due at a single maturity date are shown separately.</w:t>
      </w:r>
    </w:p>
    <w:tbl>
      <w:tblPr>
        <w:tblW w:w="5634" w:type="dxa"/>
        <w:jc w:val="left"/>
        <w:tblInd w:w="0" w:type="dxa"/>
        <w:tblLayout w:type="fixed"/>
        <w:tblCellMar>
          <w:top w:w="28" w:type="dxa"/>
          <w:left w:w="28" w:type="dxa"/>
          <w:bottom w:w="28" w:type="dxa"/>
          <w:right w:w="28" w:type="dxa"/>
        </w:tblCellMar>
      </w:tblPr>
      <w:tblGrid>
        <w:gridCol w:w="1052"/>
        <w:gridCol w:w="927"/>
        <w:gridCol w:w="931"/>
        <w:gridCol w:w="196"/>
        <w:gridCol w:w="871"/>
        <w:gridCol w:w="109"/>
        <w:gridCol w:w="109"/>
        <w:gridCol w:w="109"/>
        <w:gridCol w:w="109"/>
        <w:gridCol w:w="196"/>
        <w:gridCol w:w="87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 available for sale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Within one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After one year through five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After five years through ten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After ten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available for sale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1,592,555 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000000"/>
        </w:rPr>
      </w:pPr>
      <w:r>
        <w:rPr>
          <w:color w:val="000000"/>
        </w:rPr>
        <w:t>    </w:t>
      </w:r>
    </w:p>
    <w:p>
      <w:pPr>
        <w:pStyle w:val="TextBody"/>
        <w:bidi w:val="0"/>
        <w:spacing w:lineRule="auto" w:line="288" w:before="0" w:after="240"/>
        <w:ind w:left="0" w:right="0" w:firstLine="720"/>
        <w:jc w:val="left"/>
        <w:rPr/>
      </w:pPr>
      <w:r>
        <w:rPr>
          <w:rFonts w:ascii="Times New Roman;serif" w:hAnsi="Times New Roman;serif"/>
          <w:b w:val="false"/>
          <w:color w:val="212529"/>
          <w:sz w:val="20"/>
        </w:rPr>
        <w:t xml:space="preserve">Proceeds and gross realized gains and losses on sales of investment securities available for sale for the </w:t>
      </w:r>
      <w:r>
        <w:rPr>
          <w:rFonts w:ascii="Times New Roman;serif" w:hAnsi="Times New Roman;serif"/>
          <w:b w:val="false"/>
          <w:color w:val="000000"/>
          <w:sz w:val="20"/>
        </w:rPr>
        <w:t xml:space="preserve">three months ended March 31, 2026 </w:t>
      </w:r>
      <w:r>
        <w:rPr>
          <w:rFonts w:ascii="Times New Roman;serif" w:hAnsi="Times New Roman;serif"/>
          <w:b w:val="false"/>
          <w:color w:val="212529"/>
          <w:sz w:val="20"/>
        </w:rPr>
        <w:t>are summarized as follows:</w:t>
      </w:r>
    </w:p>
    <w:tbl>
      <w:tblPr>
        <w:tblW w:w="6226" w:type="dxa"/>
        <w:jc w:val="left"/>
        <w:tblInd w:w="0" w:type="dxa"/>
        <w:tblLayout w:type="fixed"/>
        <w:tblCellMar>
          <w:top w:w="28" w:type="dxa"/>
          <w:left w:w="28" w:type="dxa"/>
          <w:bottom w:w="28" w:type="dxa"/>
          <w:right w:w="28" w:type="dxa"/>
        </w:tblCellMar>
      </w:tblPr>
      <w:tblGrid>
        <w:gridCol w:w="1052"/>
        <w:gridCol w:w="927"/>
        <w:gridCol w:w="931"/>
        <w:gridCol w:w="494"/>
        <w:gridCol w:w="1630"/>
        <w:gridCol w:w="275"/>
        <w:gridCol w:w="109"/>
        <w:gridCol w:w="109"/>
        <w:gridCol w:w="109"/>
        <w:gridCol w:w="109"/>
        <w:gridCol w:w="109"/>
        <w:gridCol w:w="109"/>
        <w:gridCol w:w="109"/>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 available for sale</w:t>
            </w:r>
          </w:p>
        </w:tc>
        <w:tc>
          <w:tcPr>
            <w:tcW w:w="2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98,599 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realized gains on sales</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realized losses on sales</w:t>
            </w:r>
          </w:p>
        </w:tc>
        <w:tc>
          <w:tcPr>
            <w:tcW w:w="2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gross realized gains or losses on sales of investment securities available for sale for the three months ended March 31, 2025.</w:t>
      </w:r>
    </w:p>
    <w:p>
      <w:pPr>
        <w:pStyle w:val="TextBody"/>
        <w:bidi w:val="0"/>
        <w:spacing w:lineRule="auto" w:line="288" w:before="2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Unrealized losses and fair values for investment securities available for sale as of March 31, 2026 and December 31, 2025, aggregated by investment category and length of time that individual securities have been in a continuous unrealized loss position, are summarized as follows:</w:t>
      </w:r>
    </w:p>
    <w:tbl>
      <w:tblPr>
        <w:tblW w:w="10205" w:type="dxa"/>
        <w:jc w:val="left"/>
        <w:tblInd w:w="0" w:type="dxa"/>
        <w:tblLayout w:type="fixed"/>
        <w:tblCellMar>
          <w:top w:w="28" w:type="dxa"/>
          <w:left w:w="28" w:type="dxa"/>
          <w:bottom w:w="28" w:type="dxa"/>
          <w:right w:w="28" w:type="dxa"/>
        </w:tblCellMar>
      </w:tblPr>
      <w:tblGrid>
        <w:gridCol w:w="1102"/>
        <w:gridCol w:w="686"/>
        <w:gridCol w:w="689"/>
        <w:gridCol w:w="196"/>
        <w:gridCol w:w="736"/>
        <w:gridCol w:w="109"/>
        <w:gridCol w:w="109"/>
        <w:gridCol w:w="109"/>
        <w:gridCol w:w="109"/>
        <w:gridCol w:w="201"/>
        <w:gridCol w:w="572"/>
        <w:gridCol w:w="113"/>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196"/>
        <w:gridCol w:w="646"/>
        <w:gridCol w:w="156"/>
      </w:tblGrid>
      <w:tr>
        <w:trPr/>
        <w:tc>
          <w:tcPr>
            <w:tcW w:w="110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 available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sponsored entities and U.S.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agency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non-agency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student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municipal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loan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available for sale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37"/>
        <w:gridCol w:w="736"/>
        <w:gridCol w:w="739"/>
        <w:gridCol w:w="196"/>
        <w:gridCol w:w="736"/>
        <w:gridCol w:w="109"/>
        <w:gridCol w:w="109"/>
        <w:gridCol w:w="109"/>
        <w:gridCol w:w="109"/>
        <w:gridCol w:w="201"/>
        <w:gridCol w:w="572"/>
        <w:gridCol w:w="113"/>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56"/>
      </w:tblGrid>
      <w:tr>
        <w:trPr/>
        <w:tc>
          <w:tcPr>
            <w:tcW w:w="11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 available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sponsored entities and U.S.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agency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non-agency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student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municipal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loan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available for sale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295 investment securities available for sale had unrealized losses with aggregate depreciation of 7.37% from their amortized cost basis. For all of the above investment securities, the unrealized losses were generally due to changes in interest rates and other market conditions that do not represent credit-related impairments. The Company expects the fair value to recover as the securities approach their respective maturity dates and principal is paid back in full. The Company does not intend to sell and it is not more likely than not that the Company will be required to sell the securities prior to their anticipated recovery of their amortized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3 – LOANS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loans outstanding by portfolio class, as of March 31, 2026 and December 31, 2025:</w:t>
      </w:r>
    </w:p>
    <w:tbl>
      <w:tblPr>
        <w:tblW w:w="5889" w:type="dxa"/>
        <w:jc w:val="left"/>
        <w:tblInd w:w="0" w:type="dxa"/>
        <w:tblLayout w:type="fixed"/>
        <w:tblCellMar>
          <w:top w:w="28" w:type="dxa"/>
          <w:left w:w="28" w:type="dxa"/>
          <w:bottom w:w="28" w:type="dxa"/>
          <w:right w:w="28" w:type="dxa"/>
        </w:tblCellMar>
      </w:tblPr>
      <w:tblGrid>
        <w:gridCol w:w="1144"/>
        <w:gridCol w:w="1008"/>
        <w:gridCol w:w="1013"/>
        <w:gridCol w:w="196"/>
        <w:gridCol w:w="871"/>
        <w:gridCol w:w="109"/>
        <w:gridCol w:w="109"/>
        <w:gridCol w:w="109"/>
        <w:gridCol w:w="109"/>
        <w:gridCol w:w="196"/>
        <w:gridCol w:w="871"/>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non-owner occupied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owner occupied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3,807,325 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first lien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residential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loans included net deferred loan fees of $8.4 million and $8.2 million at March 31, 2026 and December 31, 2025, respectively, and unearned discounts of $3.9 million and $4.7 million within the lease financing portfolio at March 31,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Classifications of Loan Portfolio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monitors and assesses the credit risk of its loan portfolio using the classes set forth below. These classes also represent the segments by which the Company monitors the performance of its loan portfolio and estimates its allowance for credit losses on loans.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Commercial</w:t>
      </w:r>
      <w:r>
        <w:rPr>
          <w:color w:val="000000"/>
        </w:rPr>
        <w:t>—</w:t>
      </w:r>
      <w:r>
        <w:rPr>
          <w:rFonts w:ascii="Times New Roman;serif" w:hAnsi="Times New Roman;serif"/>
          <w:b w:val="false"/>
          <w:color w:val="000000"/>
          <w:sz w:val="20"/>
        </w:rPr>
        <w:t>Loans to varying types of businesses, including municipalities, school districts and nonprofit organizations, for the purpose of supporting working capital, operational needs and term financing of equipment. Repayment of such loans is generally provided through operating cash flows of the business. Commercial loans are predominately secured by equipment, inventory, accounts receivable, and other sources of repayment.</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Commercial real estate</w:t>
      </w:r>
      <w:r>
        <w:rPr>
          <w:color w:val="000000"/>
        </w:rPr>
        <w:t>—</w:t>
      </w:r>
      <w:r>
        <w:rPr>
          <w:rFonts w:ascii="Times New Roman;serif" w:hAnsi="Times New Roman;serif"/>
          <w:b w:val="false"/>
          <w:color w:val="000000"/>
          <w:sz w:val="20"/>
        </w:rPr>
        <w:t>Loans secured by real estate occupied by the borrower for ongoing operations, including loans to borrowers engaged in agricultural production, and non-owner occupied real estate leased to one or more tenants, including commercial office, industrial, special purpose, retail and multi-family residential real estate loans.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Construction and land development</w:t>
      </w:r>
      <w:r>
        <w:rPr>
          <w:color w:val="000000"/>
        </w:rPr>
        <w:t>—</w:t>
      </w:r>
      <w:r>
        <w:rPr>
          <w:rFonts w:ascii="Times New Roman;serif" w:hAnsi="Times New Roman;serif"/>
          <w:b w:val="false"/>
          <w:color w:val="000000"/>
          <w:sz w:val="20"/>
        </w:rPr>
        <w:t>Secured loans for the construction of business and residential properties. Real estate construction loans often convert to a real estate commercial loan at the completion of the construction period. Secured development loans are made to borrowers for the purpose of infrastructure improvements to vacant land to create finished marketable residential and commercial lots/land. Most land development loans are originated with the intention that the loans will be paid through the sale of developed lots/land by the developers within twelve months of the completion date. Interest reserves may be established on real estate construction loans.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Residential real estate</w:t>
      </w:r>
      <w:r>
        <w:rPr>
          <w:color w:val="000000"/>
        </w:rPr>
        <w:t>—</w:t>
      </w:r>
      <w:r>
        <w:rPr>
          <w:rFonts w:ascii="Times New Roman;serif" w:hAnsi="Times New Roman;serif"/>
          <w:b w:val="false"/>
          <w:color w:val="000000"/>
          <w:sz w:val="20"/>
        </w:rPr>
        <w:t>Loans secured by residential properties that generally do not qualify for secondary market sale; however, the risk to return and/or overall relationship are considered acceptable to the Company. This category also includes loans whereby consumers utilize equity in their personal residence, generally through a second mortgage, as collateral to secure the loan.</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Consumer</w:t>
      </w:r>
      <w:r>
        <w:rPr>
          <w:color w:val="000000"/>
        </w:rPr>
        <w:t>—</w:t>
      </w:r>
      <w:r>
        <w:rPr>
          <w:rFonts w:ascii="Times New Roman;serif" w:hAnsi="Times New Roman;serif"/>
          <w:b w:val="false"/>
          <w:color w:val="000000"/>
          <w:sz w:val="20"/>
        </w:rPr>
        <w:t>Loans to consumers primarily for the purpose of home improvements or acquiring automobiles, recreational vehicles and boats. Consumer loans consist of relatively small amounts that are spread across many individual borrowers.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Lease financing</w:t>
      </w:r>
      <w:r>
        <w:rPr>
          <w:color w:val="000000"/>
        </w:rPr>
        <w:t>—</w:t>
      </w:r>
      <w:r>
        <w:rPr>
          <w:rFonts w:ascii="Times New Roman;serif" w:hAnsi="Times New Roman;serif"/>
          <w:b w:val="false"/>
          <w:color w:val="000000"/>
          <w:sz w:val="20"/>
        </w:rPr>
        <w:t xml:space="preserve">Our leasing business historically provided financing leases to varying types of businesses, nationwide, for purchases of business equipment. The financing is secured by a first priority interest in the financed assets and generally requires monthly payments. We ceased originating new equipment financing leases and loans effective September 30, 2025 and sold substantially all of our equipment finance portfolio during the fourth quarter of 2025.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Commercial, commercial real estate, and construction and land development loans are collectively referred to as the Company’s commercial loan portfolio, while residential real estate, consumer loans and lease financing receivables are collectively referred to as the Company’s other loan portfolio.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extended loans to certain of our directors, executive officers, principal shareholders and their affiliates. These loans were made in the ordinary course of business upon substantially the same terms as comparable transactions with non-insiders, including collateralization and interest rates prevailing at the time. The new loans, other additions, repayments and other reductions for the three months ended March 31, 2026 and 2025, are summarized as follows:</w:t>
      </w:r>
    </w:p>
    <w:tbl>
      <w:tblPr>
        <w:tblW w:w="6367" w:type="dxa"/>
        <w:jc w:val="left"/>
        <w:tblInd w:w="0" w:type="dxa"/>
        <w:tblLayout w:type="fixed"/>
        <w:tblCellMar>
          <w:top w:w="28" w:type="dxa"/>
          <w:left w:w="28" w:type="dxa"/>
          <w:bottom w:w="28" w:type="dxa"/>
          <w:right w:w="28" w:type="dxa"/>
        </w:tblCellMar>
      </w:tblPr>
      <w:tblGrid>
        <w:gridCol w:w="878"/>
        <w:gridCol w:w="774"/>
        <w:gridCol w:w="777"/>
        <w:gridCol w:w="109"/>
        <w:gridCol w:w="109"/>
        <w:gridCol w:w="223"/>
        <w:gridCol w:w="223"/>
        <w:gridCol w:w="402"/>
        <w:gridCol w:w="1326"/>
        <w:gridCol w:w="223"/>
        <w:gridCol w:w="109"/>
        <w:gridCol w:w="109"/>
        <w:gridCol w:w="109"/>
        <w:gridCol w:w="196"/>
        <w:gridCol w:w="64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46,999 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loans and other 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and other reductions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47,085 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by loan portfolio segment, a summary of changes in the allowance for credit losses on loans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453"/>
        <w:gridCol w:w="314"/>
        <w:gridCol w:w="315"/>
        <w:gridCol w:w="109"/>
        <w:gridCol w:w="109"/>
        <w:gridCol w:w="109"/>
        <w:gridCol w:w="204"/>
        <w:gridCol w:w="673"/>
        <w:gridCol w:w="114"/>
        <w:gridCol w:w="109"/>
        <w:gridCol w:w="109"/>
        <w:gridCol w:w="109"/>
        <w:gridCol w:w="204"/>
        <w:gridCol w:w="673"/>
        <w:gridCol w:w="114"/>
        <w:gridCol w:w="109"/>
        <w:gridCol w:w="109"/>
        <w:gridCol w:w="109"/>
        <w:gridCol w:w="239"/>
        <w:gridCol w:w="678"/>
        <w:gridCol w:w="134"/>
        <w:gridCol w:w="109"/>
        <w:gridCol w:w="109"/>
        <w:gridCol w:w="109"/>
        <w:gridCol w:w="205"/>
        <w:gridCol w:w="581"/>
        <w:gridCol w:w="115"/>
        <w:gridCol w:w="109"/>
        <w:gridCol w:w="109"/>
        <w:gridCol w:w="109"/>
        <w:gridCol w:w="196"/>
        <w:gridCol w:w="556"/>
        <w:gridCol w:w="109"/>
        <w:gridCol w:w="109"/>
        <w:gridCol w:w="109"/>
        <w:gridCol w:w="109"/>
        <w:gridCol w:w="196"/>
        <w:gridCol w:w="646"/>
        <w:gridCol w:w="109"/>
        <w:gridCol w:w="109"/>
        <w:gridCol w:w="109"/>
        <w:gridCol w:w="109"/>
        <w:gridCol w:w="196"/>
        <w:gridCol w:w="736"/>
        <w:gridCol w:w="156"/>
      </w:tblGrid>
      <w:tr>
        <w:trPr/>
        <w:tc>
          <w:tcPr>
            <w:tcW w:w="45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Loan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Loan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br/>
              <w:t>real</w:t>
              <w:br/>
              <w:t>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w:t>
              <w:br/>
              <w:t>and land</w:t>
              <w:br/>
              <w:t>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w:t>
              <w:br/>
              <w:t>real</w:t>
              <w:br/>
              <w:t>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Lease</w:t>
              <w:br/>
              <w:t>financing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123" w:type="dxa"/>
            <w:gridSpan w:val="42"/>
            <w:tcBorders/>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123" w:type="dxa"/>
            <w:gridSpan w:val="42"/>
            <w:tcBorders/>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123" w:type="dxa"/>
            <w:gridSpan w:val="42"/>
            <w:tcBorders/>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33,554 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39,069 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105,176 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123" w:type="dxa"/>
            <w:gridSpan w:val="42"/>
            <w:tcBorders/>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123" w:type="dxa"/>
            <w:gridSpan w:val="42"/>
            <w:tcBorders/>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utilizes a combination of models which measure probability of default and loss given default in determining expected future credit losses.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probability of default is the risk that the borrower will be unable or unwilling to repay its debt in full or on time. The risk of default is derived by analyzing the obligor’s capacity to repay the debt in accordance with contractual terms. Probability of default is generally associated with financial characteristics such as inadequate cash flow to service debt, declining revenues or operating margins, high leverage, declining or marginal liquidity, and the inability to successfully implement a business plan. In addition to these quantifiable factors, the borrower’s willingness to repay also must be evaluated.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probability of default is forecasted, for most commercial and retail loans, using a regression model that determines the likelihood of default within the twelve month time horizon. The regression model uses forward-looking economic forecasts including variables such as gross domestic product, housing price index, and real disposable income to predict default rates.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loss given default component is the percentage of defaulted loan balance that is ultimately charged off. As a method for estimating the allowance, a form of migration analysis is used that combines the estimated probability of loans experiencing default events and the losses ultimately associated with the loans experiencing those defaults. Multiplying one by the other gives the Company its loss rate, which is then applied to the loan portfolio balance to determine expected future losses.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Within the model, the loss given default approach produces segmented loss given default estimates using a loss curve methodology, which is based on historical net losses from charge-off and recovery information. The main principle of a loss curve model is that the loss follows a steady timing schedule based on how long the defaulted loan has been on the books.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expected loss estimate is anchored in historical credit loss experience, with an emphasis on all available portfolio data. The Company’s historical look-back period includes January 2012 through the current period on a monthly basis. When historical credit loss experience is not sufficient for a specific portfolio, the Company may supplement its own portfolio data with external models or data.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Historical data is evaluated in multiple components of the expected credit loss, including a reasonable and supportable forecast and the post-reversion period of each loan segment. The historical experience is used to infer probability of default and loss given default in the reasonable and supportable forecast period. In the post-reversion period, long-term average loss rates are segmented by loan pool.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Qualitative reserves reflect management’s overall estimate of the extent to which current expected credit losses on collectively evaluated loans will differ from historical loss experience. The analysis takes into consideration other analytics performed within the organization, such as enterprise and concentration management, along with other credit-related analytics as deemed appropriate. Management attempts to quantify qualitative reserves whenever possible.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segments the loan portfolio into pools based on the following risk characteristics: financial asset type, collateral type, loan characteristics, credit characteristics, outstanding loan balances, contractual terms and prepayment assumptions, industry of borrower and concentrations, historical or expected credit loss patterns, and reasonable and supportable forecast periods. Within the probability of default segmentation, credit metrics are identified to further segment the financial assets. The Company utilizes risk ratings for the commercial portfolios and days past due for the consumer and the lease financing portfolios.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defined five transitioning risk states for each asset pool within the expected credit loss model. The below table illustrates the transition matrix:</w:t>
      </w:r>
    </w:p>
    <w:tbl>
      <w:tblPr>
        <w:tblW w:w="5542" w:type="dxa"/>
        <w:jc w:val="left"/>
        <w:tblInd w:w="0" w:type="dxa"/>
        <w:tblLayout w:type="fixed"/>
        <w:tblCellMar>
          <w:top w:w="28" w:type="dxa"/>
          <w:left w:w="28" w:type="dxa"/>
          <w:bottom w:w="28" w:type="dxa"/>
          <w:right w:w="28" w:type="dxa"/>
        </w:tblCellMar>
      </w:tblPr>
      <w:tblGrid>
        <w:gridCol w:w="297"/>
        <w:gridCol w:w="262"/>
        <w:gridCol w:w="265"/>
        <w:gridCol w:w="109"/>
        <w:gridCol w:w="109"/>
        <w:gridCol w:w="109"/>
        <w:gridCol w:w="469"/>
        <w:gridCol w:w="469"/>
        <w:gridCol w:w="471"/>
        <w:gridCol w:w="109"/>
        <w:gridCol w:w="109"/>
        <w:gridCol w:w="109"/>
        <w:gridCol w:w="778"/>
        <w:gridCol w:w="778"/>
        <w:gridCol w:w="1099"/>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Risk 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loans</w:t>
              <w:br/>
              <w:t>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loans and</w:t>
              <w:br/>
              <w:t>equipment finance loans and leases</w:t>
              <w:br/>
              <w:t>days past due</w:t>
            </w:r>
          </w:p>
        </w:tc>
      </w:tr>
      <w:tr>
        <w:trPr/>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0-14</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15-29</w:t>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30-59</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60-89</w:t>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Default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 and nonaccrual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90+ and nonaccrual</w:t>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Expected Credit Losses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calculating expected credit losses, the Company individually evaluates loans on nonaccrual status, loans past due 90 days or more and still accruing interest, and loans that do not share similar risk characteristics with other loans in the pool.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basis of individually evaluated loans on nonaccrual status as of March 31, 2026 and December 31, 2025:</w:t>
      </w:r>
    </w:p>
    <w:tbl>
      <w:tblPr>
        <w:tblW w:w="10205" w:type="dxa"/>
        <w:jc w:val="left"/>
        <w:tblInd w:w="0" w:type="dxa"/>
        <w:tblLayout w:type="fixed"/>
        <w:tblCellMar>
          <w:top w:w="28" w:type="dxa"/>
          <w:left w:w="28" w:type="dxa"/>
          <w:bottom w:w="28" w:type="dxa"/>
          <w:right w:w="28" w:type="dxa"/>
        </w:tblCellMar>
      </w:tblPr>
      <w:tblGrid>
        <w:gridCol w:w="634"/>
        <w:gridCol w:w="437"/>
        <w:gridCol w:w="439"/>
        <w:gridCol w:w="248"/>
        <w:gridCol w:w="819"/>
        <w:gridCol w:w="138"/>
        <w:gridCol w:w="109"/>
        <w:gridCol w:w="109"/>
        <w:gridCol w:w="109"/>
        <w:gridCol w:w="259"/>
        <w:gridCol w:w="854"/>
        <w:gridCol w:w="144"/>
        <w:gridCol w:w="109"/>
        <w:gridCol w:w="109"/>
        <w:gridCol w:w="109"/>
        <w:gridCol w:w="214"/>
        <w:gridCol w:w="707"/>
        <w:gridCol w:w="119"/>
        <w:gridCol w:w="109"/>
        <w:gridCol w:w="109"/>
        <w:gridCol w:w="109"/>
        <w:gridCol w:w="248"/>
        <w:gridCol w:w="819"/>
        <w:gridCol w:w="138"/>
        <w:gridCol w:w="109"/>
        <w:gridCol w:w="109"/>
        <w:gridCol w:w="109"/>
        <w:gridCol w:w="259"/>
        <w:gridCol w:w="854"/>
        <w:gridCol w:w="144"/>
        <w:gridCol w:w="109"/>
        <w:gridCol w:w="109"/>
        <w:gridCol w:w="109"/>
        <w:gridCol w:w="213"/>
        <w:gridCol w:w="705"/>
        <w:gridCol w:w="178"/>
      </w:tblGrid>
      <w:tr>
        <w:trPr/>
        <w:tc>
          <w:tcPr>
            <w:tcW w:w="6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Nonaccrual with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Nonaccrual with no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Nonaccrual with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Nonaccrual with no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nonaccrual</w:t>
            </w:r>
          </w:p>
        </w:tc>
      </w:tr>
      <w:tr>
        <w:trPr/>
        <w:tc>
          <w:tcPr>
            <w:tcW w:w="1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non-owner occupied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owner occupied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25,153 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55,904 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first lien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residential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24,551 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54,158 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31,064 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60,939 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interest income recognized on nonaccrual loans during the three months ended March 31, 2026 and 2025 while the loans were in nonaccrual status.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Collateral Dependent Financial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collateral dependent financial asset is a loan that relies solely on the operation or sale of the collateral for repayment. In evaluating the overall risk associated with a loan, the Company considers character, overall financial condition and resources, and payment record of the borrower; the prospects for support from any financially responsible guarantors; and the nature and degree of protection provided by the cash flow and value of any underlying collateral. However, as other sources of repayment become inadequate over time, the significance of the collateral’s value increases and the loan may become collateral dependent.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amortized cost basis of individually evaluated, collateral dependent loans by loan class, for borrowers experiencing financial difficulty, as of March 31, 2026 and December 31, 2025:</w:t>
      </w:r>
    </w:p>
    <w:tbl>
      <w:tblPr>
        <w:tblW w:w="6381" w:type="dxa"/>
        <w:jc w:val="left"/>
        <w:tblInd w:w="0" w:type="dxa"/>
        <w:tblLayout w:type="fixed"/>
        <w:tblCellMar>
          <w:top w:w="28" w:type="dxa"/>
          <w:left w:w="28" w:type="dxa"/>
          <w:bottom w:w="28" w:type="dxa"/>
          <w:right w:w="28" w:type="dxa"/>
        </w:tblCellMar>
      </w:tblPr>
      <w:tblGrid>
        <w:gridCol w:w="840"/>
        <w:gridCol w:w="740"/>
        <w:gridCol w:w="744"/>
        <w:gridCol w:w="196"/>
        <w:gridCol w:w="646"/>
        <w:gridCol w:w="109"/>
        <w:gridCol w:w="109"/>
        <w:gridCol w:w="109"/>
        <w:gridCol w:w="109"/>
        <w:gridCol w:w="232"/>
        <w:gridCol w:w="659"/>
        <w:gridCol w:w="129"/>
        <w:gridCol w:w="109"/>
        <w:gridCol w:w="109"/>
        <w:gridCol w:w="109"/>
        <w:gridCol w:w="109"/>
        <w:gridCol w:w="109"/>
        <w:gridCol w:w="109"/>
        <w:gridCol w:w="109"/>
        <w:gridCol w:w="196"/>
        <w:gridCol w:w="646"/>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5"/>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Blanket Lien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Non-owner occupied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Owner occupied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collateral dependent loans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Non-owner occupied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Owner occupied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collateral dependent loans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aging status of the recorded investment in loans by class as of March 31, 2026 was as follows:</w:t>
      </w:r>
    </w:p>
    <w:tbl>
      <w:tblPr>
        <w:tblW w:w="10205" w:type="dxa"/>
        <w:jc w:val="left"/>
        <w:tblInd w:w="0" w:type="dxa"/>
        <w:tblLayout w:type="fixed"/>
        <w:tblCellMar>
          <w:top w:w="28" w:type="dxa"/>
          <w:left w:w="28" w:type="dxa"/>
          <w:bottom w:w="28" w:type="dxa"/>
          <w:right w:w="28" w:type="dxa"/>
        </w:tblCellMar>
      </w:tblPr>
      <w:tblGrid>
        <w:gridCol w:w="542"/>
        <w:gridCol w:w="333"/>
        <w:gridCol w:w="334"/>
        <w:gridCol w:w="196"/>
        <w:gridCol w:w="871"/>
        <w:gridCol w:w="109"/>
        <w:gridCol w:w="109"/>
        <w:gridCol w:w="109"/>
        <w:gridCol w:w="109"/>
        <w:gridCol w:w="196"/>
        <w:gridCol w:w="646"/>
        <w:gridCol w:w="109"/>
        <w:gridCol w:w="109"/>
        <w:gridCol w:w="109"/>
        <w:gridCol w:w="109"/>
        <w:gridCol w:w="209"/>
        <w:gridCol w:w="595"/>
        <w:gridCol w:w="116"/>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57"/>
      </w:tblGrid>
      <w:tr>
        <w:trPr/>
        <w:tc>
          <w:tcPr>
            <w:tcW w:w="54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30-59</w:t>
              <w:br/>
              <w:t>days</w:t>
              <w:b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Past due</w:t>
              <w:br/>
              <w:t>90 days</w:t>
              <w:br/>
              <w:t>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1,109,478 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Commercial real estate non-owner occupied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1,419,542 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owner occupied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461,699 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64,715 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3,815,178 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first lien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280,205 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residential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4,259,516 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aging status of the recorded investment in loans by class as of December 31, 2025 was as follows:</w:t>
      </w:r>
    </w:p>
    <w:tbl>
      <w:tblPr>
        <w:tblW w:w="10205" w:type="dxa"/>
        <w:jc w:val="left"/>
        <w:tblInd w:w="0" w:type="dxa"/>
        <w:tblLayout w:type="fixed"/>
        <w:tblCellMar>
          <w:top w:w="28" w:type="dxa"/>
          <w:left w:w="28" w:type="dxa"/>
          <w:bottom w:w="28" w:type="dxa"/>
          <w:right w:w="28" w:type="dxa"/>
        </w:tblCellMar>
      </w:tblPr>
      <w:tblGrid>
        <w:gridCol w:w="560"/>
        <w:gridCol w:w="354"/>
        <w:gridCol w:w="355"/>
        <w:gridCol w:w="196"/>
        <w:gridCol w:w="871"/>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56"/>
      </w:tblGrid>
      <w:tr>
        <w:trPr/>
        <w:tc>
          <w:tcPr>
            <w:tcW w:w="5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30-59</w:t>
              <w:br/>
              <w:t>days</w:t>
              <w:b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60-89</w:t>
              <w:br/>
              <w:t>days</w:t>
              <w:b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Past due</w:t>
              <w:br/>
              <w:t>90 days</w:t>
              <w:br/>
              <w:t>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1,062,691 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non-owner occupied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1,447,894 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owner occupied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3,807,325 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first lien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residential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4,269,442 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Loan Restructurings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offer various types of concessions when a borrower is experiencing financial difficulties that result in a direct change in the timing or amount of contractual cash flows including principal forgiveness, interest rate reductions, other-than-insignificant payment delays, term extensions, and combinations of the listed modifications. Commercial loans modified in a loan restructuring often involve temporary interest-only payments, term extensions, and converting revolving credit lines to term loans. Additional collateral, a co-borrower, or a guarantor is often requested.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Loans modified in a loan restructuring for the Company may have the financial effect of increasing the specific allowance associated with the loan. An allowance for loans that have been modified in a loan restructuring is measured based on the probability of default and loss given default model, the loan's observable market price, or the estimated fair value of the collateral, less any selling costs, if the loan is collateral dependent. Management exercises significant judgment in developing these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Commercial and consumer loans modified in a loan restructuring are closely monitored for delinquency as an early indicator of possible future default. If loans modified in a loan restructuring subsequently default, the Company evaluates the loan for possible further loss. The allowance may be increased, adjustments may be made in the allocation of the allowance, or partial charge-offs may be taken to further write-down the carrying value of the loan.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by loan portfolio segment, a summary of loan restructurings for the three months ended March 31, 2026 and 2025:</w:t>
      </w:r>
    </w:p>
    <w:tbl>
      <w:tblPr>
        <w:tblW w:w="6632" w:type="dxa"/>
        <w:jc w:val="left"/>
        <w:tblInd w:w="0" w:type="dxa"/>
        <w:tblLayout w:type="fixed"/>
        <w:tblCellMar>
          <w:top w:w="28" w:type="dxa"/>
          <w:left w:w="28" w:type="dxa"/>
          <w:bottom w:w="28" w:type="dxa"/>
          <w:right w:w="28" w:type="dxa"/>
        </w:tblCellMar>
      </w:tblPr>
      <w:tblGrid>
        <w:gridCol w:w="940"/>
        <w:gridCol w:w="826"/>
        <w:gridCol w:w="829"/>
        <w:gridCol w:w="196"/>
        <w:gridCol w:w="646"/>
        <w:gridCol w:w="109"/>
        <w:gridCol w:w="203"/>
        <w:gridCol w:w="203"/>
        <w:gridCol w:w="201"/>
        <w:gridCol w:w="109"/>
        <w:gridCol w:w="109"/>
        <w:gridCol w:w="109"/>
        <w:gridCol w:w="196"/>
        <w:gridCol w:w="556"/>
        <w:gridCol w:w="109"/>
        <w:gridCol w:w="203"/>
        <w:gridCol w:w="203"/>
        <w:gridCol w:w="186"/>
        <w:gridCol w:w="109"/>
        <w:gridCol w:w="109"/>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commercial loans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first lien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residential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 restructurings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summary of loan restructurings, by loan portfolio segment and type of restructuring, for the three months ended March 31, 2026 and 2025:</w:t>
      </w:r>
    </w:p>
    <w:tbl>
      <w:tblPr>
        <w:tblW w:w="9903" w:type="dxa"/>
        <w:jc w:val="left"/>
        <w:tblInd w:w="0" w:type="dxa"/>
        <w:tblLayout w:type="fixed"/>
        <w:tblCellMar>
          <w:top w:w="28" w:type="dxa"/>
          <w:left w:w="28" w:type="dxa"/>
          <w:bottom w:w="28" w:type="dxa"/>
          <w:right w:w="28" w:type="dxa"/>
        </w:tblCellMar>
      </w:tblPr>
      <w:tblGrid>
        <w:gridCol w:w="897"/>
        <w:gridCol w:w="788"/>
        <w:gridCol w:w="790"/>
        <w:gridCol w:w="239"/>
        <w:gridCol w:w="239"/>
        <w:gridCol w:w="430"/>
        <w:gridCol w:w="1417"/>
        <w:gridCol w:w="239"/>
        <w:gridCol w:w="109"/>
        <w:gridCol w:w="109"/>
        <w:gridCol w:w="109"/>
        <w:gridCol w:w="109"/>
        <w:gridCol w:w="109"/>
        <w:gridCol w:w="314"/>
        <w:gridCol w:w="1039"/>
        <w:gridCol w:w="177"/>
        <w:gridCol w:w="602"/>
        <w:gridCol w:w="602"/>
        <w:gridCol w:w="1585"/>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5039"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2026</w:t>
            </w:r>
          </w:p>
        </w:tc>
        <w:tc>
          <w:tcPr>
            <w:tcW w:w="4864" w:type="dxa"/>
            <w:gridSpan w:val="11"/>
            <w:tcBorders/>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Extension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Modifications</w:t>
              <w:br/>
              <w:t>($)</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Class of Financing Receivable </w:t>
              <w:b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Construction &amp; land development</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1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first lien</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residential</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10,506 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1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844"/>
        <w:gridCol w:w="716"/>
        <w:gridCol w:w="718"/>
        <w:gridCol w:w="160"/>
        <w:gridCol w:w="160"/>
        <w:gridCol w:w="321"/>
        <w:gridCol w:w="913"/>
        <w:gridCol w:w="178"/>
        <w:gridCol w:w="477"/>
        <w:gridCol w:w="999"/>
        <w:gridCol w:w="257"/>
        <w:gridCol w:w="109"/>
        <w:gridCol w:w="109"/>
        <w:gridCol w:w="109"/>
        <w:gridCol w:w="109"/>
        <w:gridCol w:w="333"/>
        <w:gridCol w:w="949"/>
        <w:gridCol w:w="187"/>
        <w:gridCol w:w="556"/>
        <w:gridCol w:w="548"/>
        <w:gridCol w:w="1453"/>
      </w:tblGrid>
      <w:tr>
        <w:trPr/>
        <w:tc>
          <w:tcPr>
            <w:tcW w:w="84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574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2025</w:t>
            </w:r>
          </w:p>
        </w:tc>
        <w:tc>
          <w:tcPr>
            <w:tcW w:w="4462" w:type="dxa"/>
            <w:gridSpan w:val="10"/>
            <w:tcBorders/>
          </w:tcPr>
          <w:p>
            <w:pPr>
              <w:pStyle w:val="TableContents"/>
              <w:bidi w:val="0"/>
              <w:spacing w:before="0" w:after="283"/>
              <w:jc w:val="left"/>
              <w:rPr>
                <w:sz w:val="4"/>
                <w:szCs w:val="4"/>
              </w:rPr>
            </w:pPr>
            <w:r>
              <w:rPr>
                <w:sz w:val="4"/>
                <w:szCs w:val="4"/>
              </w:rPr>
            </w:r>
          </w:p>
        </w:tc>
      </w:tr>
      <w:tr>
        <w:trPr/>
        <w:tc>
          <w:tcPr>
            <w:tcW w:w="2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Extension ($)</w:t>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Interest Rate Reduction </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Modifications</w:t>
              <w:br/>
              <w:t>($)</w:t>
            </w:r>
          </w:p>
        </w:tc>
        <w:tc>
          <w:tcPr>
            <w:tcW w:w="2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Class of Financing Receivable </w:t>
              <w:br/>
              <w:t>(%)</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45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45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57"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57"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57"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&amp; land development</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first lien</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residential</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57"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57"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57"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57"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not committed to lend any additional amounts to the borrowers that have been granted a loan modification.</w:t>
      </w:r>
    </w:p>
    <w:p>
      <w:pPr>
        <w:pStyle w:val="TextBody"/>
        <w:bidi w:val="0"/>
        <w:spacing w:before="240" w:after="24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closely monitors the performance of loans that are modified to borrowers experiencing financial difficulty to understand the effectiveness of our modification efforts. The following table presents the performance of such loans that have been modified in the last twelve months as of March 31, 2026:</w:t>
      </w:r>
    </w:p>
    <w:tbl>
      <w:tblPr>
        <w:tblW w:w="9847" w:type="dxa"/>
        <w:jc w:val="left"/>
        <w:tblInd w:w="0" w:type="dxa"/>
        <w:tblLayout w:type="fixed"/>
        <w:tblCellMar>
          <w:top w:w="28" w:type="dxa"/>
          <w:left w:w="28" w:type="dxa"/>
          <w:bottom w:w="28" w:type="dxa"/>
          <w:right w:w="28" w:type="dxa"/>
        </w:tblCellMar>
      </w:tblPr>
      <w:tblGrid>
        <w:gridCol w:w="1144"/>
        <w:gridCol w:w="1008"/>
        <w:gridCol w:w="1013"/>
        <w:gridCol w:w="196"/>
        <w:gridCol w:w="421"/>
        <w:gridCol w:w="109"/>
        <w:gridCol w:w="109"/>
        <w:gridCol w:w="109"/>
        <w:gridCol w:w="109"/>
        <w:gridCol w:w="196"/>
        <w:gridCol w:w="406"/>
        <w:gridCol w:w="109"/>
        <w:gridCol w:w="109"/>
        <w:gridCol w:w="109"/>
        <w:gridCol w:w="109"/>
        <w:gridCol w:w="198"/>
        <w:gridCol w:w="411"/>
        <w:gridCol w:w="110"/>
        <w:gridCol w:w="109"/>
        <w:gridCol w:w="109"/>
        <w:gridCol w:w="109"/>
        <w:gridCol w:w="196"/>
        <w:gridCol w:w="421"/>
        <w:gridCol w:w="109"/>
        <w:gridCol w:w="109"/>
        <w:gridCol w:w="109"/>
        <w:gridCol w:w="109"/>
        <w:gridCol w:w="109"/>
        <w:gridCol w:w="109"/>
        <w:gridCol w:w="196"/>
        <w:gridCol w:w="646"/>
        <w:gridCol w:w="109"/>
        <w:gridCol w:w="109"/>
        <w:gridCol w:w="109"/>
        <w:gridCol w:w="109"/>
        <w:gridCol w:w="196"/>
        <w:gridCol w:w="646"/>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30-59</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60-89</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Past due</w:t>
              <w:br/>
              <w:t>90 days</w:t>
              <w:br/>
              <w:t>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non-owner occupied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first lien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residential</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 restructurings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performance of such loans that have been modified in the last twelve months as of December 31, 2025:</w:t>
      </w:r>
    </w:p>
    <w:tbl>
      <w:tblPr>
        <w:tblW w:w="9817" w:type="dxa"/>
        <w:jc w:val="left"/>
        <w:tblInd w:w="0" w:type="dxa"/>
        <w:tblLayout w:type="fixed"/>
        <w:tblCellMar>
          <w:top w:w="28" w:type="dxa"/>
          <w:left w:w="28" w:type="dxa"/>
          <w:bottom w:w="28" w:type="dxa"/>
          <w:right w:w="28" w:type="dxa"/>
        </w:tblCellMar>
      </w:tblPr>
      <w:tblGrid>
        <w:gridCol w:w="1144"/>
        <w:gridCol w:w="1008"/>
        <w:gridCol w:w="1013"/>
        <w:gridCol w:w="196"/>
        <w:gridCol w:w="406"/>
        <w:gridCol w:w="109"/>
        <w:gridCol w:w="109"/>
        <w:gridCol w:w="109"/>
        <w:gridCol w:w="109"/>
        <w:gridCol w:w="196"/>
        <w:gridCol w:w="406"/>
        <w:gridCol w:w="109"/>
        <w:gridCol w:w="109"/>
        <w:gridCol w:w="109"/>
        <w:gridCol w:w="109"/>
        <w:gridCol w:w="198"/>
        <w:gridCol w:w="411"/>
        <w:gridCol w:w="110"/>
        <w:gridCol w:w="109"/>
        <w:gridCol w:w="109"/>
        <w:gridCol w:w="109"/>
        <w:gridCol w:w="196"/>
        <w:gridCol w:w="406"/>
        <w:gridCol w:w="109"/>
        <w:gridCol w:w="109"/>
        <w:gridCol w:w="109"/>
        <w:gridCol w:w="109"/>
        <w:gridCol w:w="109"/>
        <w:gridCol w:w="109"/>
        <w:gridCol w:w="196"/>
        <w:gridCol w:w="646"/>
        <w:gridCol w:w="109"/>
        <w:gridCol w:w="109"/>
        <w:gridCol w:w="109"/>
        <w:gridCol w:w="109"/>
        <w:gridCol w:w="196"/>
        <w:gridCol w:w="646"/>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30-59</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60-89</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Past due</w:t>
              <w:br/>
              <w:t>90 days</w:t>
              <w:br/>
              <w:t>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non-owner occupied</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first lien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residential</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 restructurings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rFonts w:ascii="Times New Roman;serif" w:hAnsi="Times New Roman;serif"/>
          <w:b/>
          <w:i/>
          <w:color w:val="000000"/>
          <w:sz w:val="20"/>
        </w:rPr>
      </w:pPr>
      <w:r>
        <w:rPr>
          <w:rFonts w:ascii="Times New Roman;serif" w:hAnsi="Times New Roman;serif"/>
          <w:b/>
          <w:i/>
          <w:color w:val="000000"/>
          <w:sz w:val="20"/>
        </w:rPr>
        <w:t>Credit Quality Monitoring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loan policies and credit underwriting standards as part of the process of managing credit risk. These standards include making loans generally within the Company’s four geographic regions. In addition, our specialty finance division does nationwide bridge lending for FHA and HUD developments and originates loans for multifamily, assisted and senior living and multi-use properties. Our equipment leasing business historically provided financing to business customers across the country.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loan approval process involving underwriting and individual and group loan approval authorities to consider credit quality and loss exposure at loan origination. The loans in the Company’s commercial loan portfolio are risk rated based on the grading system set forth below. All loan authority is based on the aggregate credit to a borrower and its related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Loans in the commercial loan portfolio tend to be larger and more complex than those in the other loan portfolio, and therefore, are subject to more intensive monitoring. All loans in the commercial loan portfolio have an assigned relationship manager, and most borrowers provide periodic financial and operating information that allows the relationship managers to stay abreast of credit quality during the life of the loans. The risk ratings of loans in the commercial loan portfolio are reassessed at least annually, with loans below an acceptable risk rating reassessed more frequently and reviewed by various individuals within the Company at least quarterly.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consumer loan portfolio is primarily comprised of both secured and unsecured loans that are relatively small and are evaluated at origination on a centralized basis against standardized underwriting criteria. The ongoing measurement of credit quality of the consumer loan portfolio is largely done on an exception basis. If payments are made on schedule, as agreed, then no further monitoring is performed. However, if delinquency occurs, the delinquent loans are turned over to the Company’s Consumer Collections Group for resolution. Credit quality for the entire consumer loan portfolio is measured by the periodic delinquency rate, nonaccrual amounts and actual losses incurred.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 centralized independent loan review function that monitors the approval process and ongoing asset quality of the loan portfolio, including the accuracy of loan grades. The Company also maintains an independent appraisal review function that participates in the review of all appraisals obtained by the Company.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Credit Quality Indicators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a ten grade risk rating system to monitor the ongoing credit quality of its commercial loan portfolio. These loan grades rank the credit quality of a borrower by measuring liquidity, debt capacity, and coverage and payment behavior as shown in the borrower’s financial statements. The risk grades also measure the quality of the borrower’s management and the repayment support offered by any guarantors.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all loans with Risk Grades 1 - 6 as acceptable credit risks and structures and manages such relationships accordingly. Periodic financial and operating data combined with regular loan officer interactions are deemed adequate to monitor borrower performance. Loans with Risk Grades of 7 are considered "watch credits" categorized as special mention and the frequency of loan officer contact and receipt of financial data is increased to stay abreast of borrower performance. Loans with Risk Grades of 8 - 10 are considered problematic and require special care. Risk Grade 8 is categorized as substandard, 9 as substandard - nonaccrual and 10 as doubtful. Further, loans with Risk Grades of 7 - 10 are managed regularly through a number of processes, procedures and committees, including oversight by a loan administration committee comprised of executive and senior management of the Company, which includes highly structured reporting of financial and operating data, intensive loan officer intervention and strategies to exit, as well as potential management by the Company's Special Assets Group. Loans not graded in the commercial loan portfolio are monitored by aging status and payment activity.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As discussed previously in </w:t>
      </w:r>
      <w:r>
        <w:rPr>
          <w:rFonts w:ascii="Times New Roman;serif" w:hAnsi="Times New Roman;serif"/>
          <w:b w:val="false"/>
          <w:i/>
          <w:color w:val="000000"/>
          <w:sz w:val="20"/>
        </w:rPr>
        <w:t>Loan Restructurings,</w:t>
      </w:r>
      <w:r>
        <w:rPr>
          <w:color w:val="000000"/>
        </w:rPr>
        <w:t xml:space="preserve"> </w:t>
      </w:r>
      <w:r>
        <w:rPr>
          <w:rFonts w:ascii="Times New Roman;serif" w:hAnsi="Times New Roman;serif"/>
          <w:b w:val="false"/>
          <w:color w:val="000000"/>
          <w:sz w:val="20"/>
        </w:rPr>
        <w:t xml:space="preserve">the Company does provide various types of concessions when a borrower is experiencing financial difficulties that result in a direct change in the timing or amount of contractual cash flows. Modified loans with terms at least as favorable to the lender as the terms for other customers with similar collection risks and with terms that are more than minor compared to the original terms are treated as a new loan to the borrower.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recorded investment of the commercial loan portfolio by risk category as of March 31, 2026 and December 31, 2025:</w:t>
      </w:r>
    </w:p>
    <w:tbl>
      <w:tblPr>
        <w:tblW w:w="12375" w:type="dxa"/>
        <w:jc w:val="left"/>
        <w:tblInd w:w="0" w:type="dxa"/>
        <w:tblLayout w:type="fixed"/>
        <w:tblCellMar>
          <w:top w:w="28" w:type="dxa"/>
          <w:left w:w="28" w:type="dxa"/>
          <w:bottom w:w="28" w:type="dxa"/>
          <w:right w:w="28" w:type="dxa"/>
        </w:tblCellMar>
      </w:tblPr>
      <w:tblGrid>
        <w:gridCol w:w="369"/>
        <w:gridCol w:w="258"/>
        <w:gridCol w:w="259"/>
        <w:gridCol w:w="325"/>
        <w:gridCol w:w="265"/>
        <w:gridCol w:w="266"/>
        <w:gridCol w:w="350"/>
        <w:gridCol w:w="245"/>
        <w:gridCol w:w="246"/>
        <w:gridCol w:w="181"/>
        <w:gridCol w:w="616"/>
        <w:gridCol w:w="109"/>
        <w:gridCol w:w="109"/>
        <w:gridCol w:w="109"/>
        <w:gridCol w:w="109"/>
        <w:gridCol w:w="181"/>
        <w:gridCol w:w="721"/>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721"/>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3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Loans</w:t>
              <w:br/>
              <w:t>Amortized Cost Basis by Origination Year</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(dollars in thousands)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1,083,835 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other</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4"/>
              </w:rPr>
            </w:pPr>
            <w:r>
              <w:rPr>
                <w:rFonts w:ascii="Times New Roman;serif" w:hAnsi="Times New Roman;serif"/>
                <w:b w:val="false"/>
                <w:color w:val="000000"/>
                <w:sz w:val="14"/>
              </w:rPr>
              <w:t>Commercial real estate</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Non-owner occupied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1,335,737 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1,419,542 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Owner occupied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Multi-family</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Farmland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Construction and land development</w:t>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519,285 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3,618,683 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commercial loans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1,071,602 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593,627 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3,815,178 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tbl>
      <w:tblPr>
        <w:tblW w:w="12375" w:type="dxa"/>
        <w:jc w:val="left"/>
        <w:tblInd w:w="0" w:type="dxa"/>
        <w:tblLayout w:type="fixed"/>
        <w:tblCellMar>
          <w:top w:w="28" w:type="dxa"/>
          <w:left w:w="28" w:type="dxa"/>
          <w:bottom w:w="28" w:type="dxa"/>
          <w:right w:w="28" w:type="dxa"/>
        </w:tblCellMar>
      </w:tblPr>
      <w:tblGrid>
        <w:gridCol w:w="369"/>
        <w:gridCol w:w="258"/>
        <w:gridCol w:w="259"/>
        <w:gridCol w:w="321"/>
        <w:gridCol w:w="261"/>
        <w:gridCol w:w="274"/>
        <w:gridCol w:w="350"/>
        <w:gridCol w:w="245"/>
        <w:gridCol w:w="246"/>
        <w:gridCol w:w="181"/>
        <w:gridCol w:w="721"/>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721"/>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Loans</w:t>
              <w:br/>
              <w:t>Amortized Cost Basis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(dollars in thousands)</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1,035,476 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1,062,691 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other</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4"/>
              </w:rPr>
            </w:pPr>
            <w:r>
              <w:rPr>
                <w:rFonts w:ascii="Times New Roman;serif" w:hAnsi="Times New Roman;serif"/>
                <w:b w:val="false"/>
                <w:color w:val="000000"/>
                <w:sz w:val="14"/>
              </w:rPr>
              <w:t>Commercial real estate</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Non-owner occupied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1,352,433 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1,447,894 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Owner occupied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Multi-family</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337,163 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Farmland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Construction and land development</w:t>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Acceptable credit quality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1,089,177 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3,595,963 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Substandard – nonaccrual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Doubtful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Not graded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commercial loans</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1,097,142 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569,783 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685,254 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3,807,325 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gross charge-offs by class of loan and year of origination on the commercial loan portfolio for the three months ended March 31, 2026 and 2025:</w:t>
      </w:r>
    </w:p>
    <w:tbl>
      <w:tblPr>
        <w:tblW w:w="10574" w:type="dxa"/>
        <w:jc w:val="left"/>
        <w:tblInd w:w="0" w:type="dxa"/>
        <w:tblLayout w:type="fixed"/>
        <w:tblCellMar>
          <w:top w:w="28" w:type="dxa"/>
          <w:left w:w="28" w:type="dxa"/>
          <w:bottom w:w="28" w:type="dxa"/>
          <w:right w:w="28" w:type="dxa"/>
        </w:tblCellMar>
      </w:tblPr>
      <w:tblGrid>
        <w:gridCol w:w="424"/>
        <w:gridCol w:w="268"/>
        <w:gridCol w:w="269"/>
        <w:gridCol w:w="360"/>
        <w:gridCol w:w="315"/>
        <w:gridCol w:w="316"/>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8"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Year</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574"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2026</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Non-owner occupied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95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gross commercial charge-offs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3"/>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613" w:type="dxa"/>
            <w:gridSpan w:val="48"/>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bl>
    <w:tbl>
      <w:tblPr>
        <w:tblW w:w="10649" w:type="dxa"/>
        <w:jc w:val="left"/>
        <w:tblInd w:w="0" w:type="dxa"/>
        <w:tblLayout w:type="fixed"/>
        <w:tblCellMar>
          <w:top w:w="28" w:type="dxa"/>
          <w:left w:w="28" w:type="dxa"/>
          <w:bottom w:w="28" w:type="dxa"/>
          <w:right w:w="28" w:type="dxa"/>
        </w:tblCellMar>
      </w:tblPr>
      <w:tblGrid>
        <w:gridCol w:w="424"/>
        <w:gridCol w:w="268"/>
        <w:gridCol w:w="269"/>
        <w:gridCol w:w="360"/>
        <w:gridCol w:w="315"/>
        <w:gridCol w:w="316"/>
        <w:gridCol w:w="196"/>
        <w:gridCol w:w="406"/>
        <w:gridCol w:w="109"/>
        <w:gridCol w:w="109"/>
        <w:gridCol w:w="109"/>
        <w:gridCol w:w="109"/>
        <w:gridCol w:w="196"/>
        <w:gridCol w:w="406"/>
        <w:gridCol w:w="109"/>
        <w:gridCol w:w="109"/>
        <w:gridCol w:w="109"/>
        <w:gridCol w:w="109"/>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196"/>
        <w:gridCol w:w="646"/>
        <w:gridCol w:w="109"/>
        <w:gridCol w:w="109"/>
        <w:gridCol w:w="109"/>
        <w:gridCol w:w="109"/>
        <w:gridCol w:w="196"/>
        <w:gridCol w:w="646"/>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Year</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49"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2025</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Commercial other</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Non-owner occupied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5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gross commercial charge-offs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1" w:type="dxa"/>
            <w:gridSpan w:val="33"/>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688" w:type="dxa"/>
            <w:gridSpan w:val="48"/>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the credit quality of its other loan portfolios, which includes residential real estate, consumer and leases, based primarily on the aging status of the loan and payment activity. Accordingly, loans on nonaccrual status and loans past due 90 days or more and still accruing interest are considered to be nonperforming for purposes of credit quality evaluation. The following tables present the recorded investment of our other loan portfolio based on the credit risk profile of loans that are performing and loans that are nonperforming as of March 31, 2026 and December 31, 2025:</w:t>
      </w:r>
    </w:p>
    <w:tbl>
      <w:tblPr>
        <w:tblW w:w="11670" w:type="dxa"/>
        <w:jc w:val="left"/>
        <w:tblInd w:w="0" w:type="dxa"/>
        <w:tblLayout w:type="fixed"/>
        <w:tblCellMar>
          <w:top w:w="28" w:type="dxa"/>
          <w:left w:w="28" w:type="dxa"/>
          <w:bottom w:w="28" w:type="dxa"/>
          <w:right w:w="28" w:type="dxa"/>
        </w:tblCellMar>
      </w:tblPr>
      <w:tblGrid>
        <w:gridCol w:w="283"/>
        <w:gridCol w:w="248"/>
        <w:gridCol w:w="250"/>
        <w:gridCol w:w="255"/>
        <w:gridCol w:w="255"/>
        <w:gridCol w:w="256"/>
        <w:gridCol w:w="329"/>
        <w:gridCol w:w="329"/>
        <w:gridCol w:w="333"/>
        <w:gridCol w:w="181"/>
        <w:gridCol w:w="466"/>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616"/>
        <w:gridCol w:w="109"/>
        <w:gridCol w:w="109"/>
        <w:gridCol w:w="109"/>
        <w:gridCol w:w="109"/>
        <w:gridCol w:w="181"/>
        <w:gridCol w:w="616"/>
        <w:gridCol w:w="109"/>
        <w:gridCol w:w="109"/>
        <w:gridCol w:w="109"/>
        <w:gridCol w:w="109"/>
        <w:gridCol w:w="181"/>
        <w:gridCol w:w="541"/>
        <w:gridCol w:w="109"/>
        <w:gridCol w:w="109"/>
        <w:gridCol w:w="109"/>
        <w:gridCol w:w="109"/>
        <w:gridCol w:w="181"/>
        <w:gridCol w:w="616"/>
        <w:gridCol w:w="154"/>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Loans</w:t>
              <w:br/>
              <w:t>Amortized Cost Basis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(dollars in thousands)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 real estate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 first lien</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280,205 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residential</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 other</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Leases financing</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other loans</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523,395 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tbl>
      <w:tblPr>
        <w:tblW w:w="11745" w:type="dxa"/>
        <w:jc w:val="left"/>
        <w:tblInd w:w="0" w:type="dxa"/>
        <w:tblLayout w:type="fixed"/>
        <w:tblCellMar>
          <w:top w:w="28" w:type="dxa"/>
          <w:left w:w="28" w:type="dxa"/>
          <w:bottom w:w="28" w:type="dxa"/>
          <w:right w:w="28" w:type="dxa"/>
        </w:tblCellMar>
      </w:tblPr>
      <w:tblGrid>
        <w:gridCol w:w="283"/>
        <w:gridCol w:w="248"/>
        <w:gridCol w:w="250"/>
        <w:gridCol w:w="255"/>
        <w:gridCol w:w="255"/>
        <w:gridCol w:w="256"/>
        <w:gridCol w:w="329"/>
        <w:gridCol w:w="329"/>
        <w:gridCol w:w="333"/>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616"/>
        <w:gridCol w:w="109"/>
        <w:gridCol w:w="109"/>
        <w:gridCol w:w="109"/>
        <w:gridCol w:w="109"/>
        <w:gridCol w:w="181"/>
        <w:gridCol w:w="541"/>
        <w:gridCol w:w="109"/>
        <w:gridCol w:w="109"/>
        <w:gridCol w:w="109"/>
        <w:gridCol w:w="109"/>
        <w:gridCol w:w="181"/>
        <w:gridCol w:w="616"/>
        <w:gridCol w:w="109"/>
        <w:gridCol w:w="109"/>
        <w:gridCol w:w="109"/>
        <w:gridCol w:w="109"/>
        <w:gridCol w:w="181"/>
        <w:gridCol w:w="541"/>
        <w:gridCol w:w="109"/>
        <w:gridCol w:w="109"/>
        <w:gridCol w:w="109"/>
        <w:gridCol w:w="109"/>
        <w:gridCol w:w="181"/>
        <w:gridCol w:w="616"/>
        <w:gridCol w:w="154"/>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Term Loans </w:t>
              <w:br/>
              <w:t>Amortized Cost Basis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(dollars in thousands)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 real estate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 first lien</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residential</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 other</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Leases financing</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Subtotal</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Nonperforming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other loans</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544,679 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gross charge-offs by class of loan and year of origination on the other loan portfolio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393"/>
        <w:gridCol w:w="283"/>
        <w:gridCol w:w="284"/>
        <w:gridCol w:w="292"/>
        <w:gridCol w:w="292"/>
        <w:gridCol w:w="293"/>
        <w:gridCol w:w="196"/>
        <w:gridCol w:w="406"/>
        <w:gridCol w:w="109"/>
        <w:gridCol w:w="109"/>
        <w:gridCol w:w="109"/>
        <w:gridCol w:w="109"/>
        <w:gridCol w:w="196"/>
        <w:gridCol w:w="406"/>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09"/>
        <w:gridCol w:w="109"/>
        <w:gridCol w:w="109"/>
        <w:gridCol w:w="109"/>
        <w:gridCol w:w="196"/>
        <w:gridCol w:w="421"/>
        <w:gridCol w:w="109"/>
        <w:gridCol w:w="109"/>
        <w:gridCol w:w="109"/>
        <w:gridCol w:w="109"/>
        <w:gridCol w:w="235"/>
        <w:gridCol w:w="490"/>
        <w:gridCol w:w="132"/>
        <w:gridCol w:w="109"/>
        <w:gridCol w:w="109"/>
        <w:gridCol w:w="109"/>
        <w:gridCol w:w="196"/>
        <w:gridCol w:w="556"/>
        <w:gridCol w:w="159"/>
      </w:tblGrid>
      <w:tr>
        <w:trPr/>
        <w:tc>
          <w:tcPr>
            <w:tcW w:w="39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Year</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205"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2026</w:t>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Residential first lien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Other residential</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Consumer</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Consumer other</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gross other charge-offs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2" w:type="dxa"/>
            <w:gridSpan w:val="33"/>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9245" w:type="dxa"/>
            <w:gridSpan w:val="48"/>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bl>
    <w:tbl>
      <w:tblPr>
        <w:tblW w:w="10419" w:type="dxa"/>
        <w:jc w:val="left"/>
        <w:tblInd w:w="0" w:type="dxa"/>
        <w:tblLayout w:type="fixed"/>
        <w:tblCellMar>
          <w:top w:w="28" w:type="dxa"/>
          <w:left w:w="28" w:type="dxa"/>
          <w:bottom w:w="28" w:type="dxa"/>
          <w:right w:w="28" w:type="dxa"/>
        </w:tblCellMar>
      </w:tblPr>
      <w:tblGrid>
        <w:gridCol w:w="379"/>
        <w:gridCol w:w="268"/>
        <w:gridCol w:w="269"/>
        <w:gridCol w:w="285"/>
        <w:gridCol w:w="285"/>
        <w:gridCol w:w="286"/>
        <w:gridCol w:w="196"/>
        <w:gridCol w:w="40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231"/>
        <w:gridCol w:w="480"/>
        <w:gridCol w:w="130"/>
        <w:gridCol w:w="109"/>
        <w:gridCol w:w="109"/>
        <w:gridCol w:w="109"/>
        <w:gridCol w:w="196"/>
        <w:gridCol w:w="55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Year</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419"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2025</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Residential first lien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Other residential</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Consumer</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Consumer other</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gross other charge-offs</w:t>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6" w:type="dxa"/>
            <w:gridSpan w:val="33"/>
            <w:tcBorders/>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9503" w:type="dxa"/>
            <w:gridSpan w:val="48"/>
            <w:tcBorders/>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Times New Roman;serif" w:hAnsi="Times New Roman;serif"/>
          <w:b/>
          <w:color w:val="000000"/>
          <w:sz w:val="20"/>
        </w:rPr>
      </w:pPr>
      <w:r>
        <w:rPr>
          <w:rFonts w:ascii="Times New Roman;serif" w:hAnsi="Times New Roman;serif"/>
          <w:b/>
          <w:color w:val="000000"/>
          <w:sz w:val="20"/>
        </w:rPr>
        <w:t>NOTE 4 – PREMISES, EQUIPMENT AND LEASES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premises, equipment and leases at March 31, 2026 and December 31, 2025 is as follows:</w:t>
      </w:r>
    </w:p>
    <w:tbl>
      <w:tblPr>
        <w:tblW w:w="4532" w:type="dxa"/>
        <w:jc w:val="left"/>
        <w:tblInd w:w="0" w:type="dxa"/>
        <w:tblLayout w:type="fixed"/>
        <w:tblCellMar>
          <w:top w:w="28" w:type="dxa"/>
          <w:left w:w="28" w:type="dxa"/>
          <w:bottom w:w="28" w:type="dxa"/>
          <w:right w:w="28" w:type="dxa"/>
        </w:tblCellMar>
      </w:tblPr>
      <w:tblGrid>
        <w:gridCol w:w="764"/>
        <w:gridCol w:w="674"/>
        <w:gridCol w:w="676"/>
        <w:gridCol w:w="196"/>
        <w:gridCol w:w="646"/>
        <w:gridCol w:w="109"/>
        <w:gridCol w:w="109"/>
        <w:gridCol w:w="109"/>
        <w:gridCol w:w="109"/>
        <w:gridCol w:w="224"/>
        <w:gridCol w:w="740"/>
        <w:gridCol w:w="176"/>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Buildings and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Furniture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148,705 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85,134 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in each of the three months ended March 31, 2026 and 2025 was $1.2 million.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operating leases, primarily for banking offices, operating facilities and ATMs, which have remaining lease terms of 5 months to 12 years, some of which may include options to extend the lease terms for up to an additional 10 years. The options to extend are included in the remaining lease term if they are reasonably certain to be exercised. The Company had operating lease right-of-use assets of $7.8 million and $8.1 million as of March 31, 2026 and December 31, 2025, respectively, included in premises and equipment, net on our consolidated balance sheets. The operating lease liabilities of the Company were $9.0 million and $9.3 million as of March 31, 2026 and December 31, 2025, respectively, and are included in accrued interest payable and other liabilities on our consolidated balance sheets.</w:t>
      </w:r>
    </w:p>
    <w:p>
      <w:pPr>
        <w:pStyle w:val="TextBody"/>
        <w:bidi w:val="0"/>
        <w:spacing w:lineRule="auto" w:line="288" w:before="14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related to operating leases for the three months ended March 31, 2026 and 2025 was as follows:</w:t>
      </w:r>
    </w:p>
    <w:tbl>
      <w:tblPr>
        <w:tblW w:w="8227" w:type="dxa"/>
        <w:jc w:val="left"/>
        <w:tblInd w:w="0" w:type="dxa"/>
        <w:tblLayout w:type="fixed"/>
        <w:tblCellMar>
          <w:top w:w="28" w:type="dxa"/>
          <w:left w:w="28" w:type="dxa"/>
          <w:bottom w:w="28" w:type="dxa"/>
          <w:right w:w="28" w:type="dxa"/>
        </w:tblCellMar>
      </w:tblPr>
      <w:tblGrid>
        <w:gridCol w:w="1584"/>
        <w:gridCol w:w="1396"/>
        <w:gridCol w:w="1400"/>
        <w:gridCol w:w="109"/>
        <w:gridCol w:w="109"/>
        <w:gridCol w:w="243"/>
        <w:gridCol w:w="243"/>
        <w:gridCol w:w="437"/>
        <w:gridCol w:w="939"/>
        <w:gridCol w:w="537"/>
        <w:gridCol w:w="109"/>
        <w:gridCol w:w="109"/>
        <w:gridCol w:w="109"/>
        <w:gridCol w:w="196"/>
        <w:gridCol w:w="421"/>
        <w:gridCol w:w="286"/>
      </w:tblGrid>
      <w:tr>
        <w:trPr/>
        <w:tc>
          <w:tcPr>
            <w:tcW w:w="158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230" w:type="dxa"/>
            <w:gridSpan w:val="6"/>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flows from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remaining lease 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years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projected minimum rental payments under the terms of the leases as of March 31, 2026 were as follows:</w:t>
      </w:r>
    </w:p>
    <w:tbl>
      <w:tblPr>
        <w:tblW w:w="3651" w:type="dxa"/>
        <w:jc w:val="left"/>
        <w:tblInd w:w="0" w:type="dxa"/>
        <w:tblLayout w:type="fixed"/>
        <w:tblCellMar>
          <w:top w:w="28" w:type="dxa"/>
          <w:left w:w="28" w:type="dxa"/>
          <w:bottom w:w="28" w:type="dxa"/>
          <w:right w:w="28" w:type="dxa"/>
        </w:tblCellMar>
      </w:tblPr>
      <w:tblGrid>
        <w:gridCol w:w="992"/>
        <w:gridCol w:w="875"/>
        <w:gridCol w:w="878"/>
        <w:gridCol w:w="196"/>
        <w:gridCol w:w="55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 ending December 31:</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remaining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future minimum lease payments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imputed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lease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5 – GOODWILL</w:t>
      </w:r>
    </w:p>
    <w:p>
      <w:pPr>
        <w:pStyle w:val="TextBody"/>
        <w:bidi w:val="0"/>
        <w:spacing w:lineRule="auto" w:line="288" w:before="1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amount of goodwill at March 31, 2026 and December 31, 2025 was $7.9 million. For the three months ended March 31, 2026, there were no changes in the carrying amount of goodwill. Additionally, the Company did not identify any events or changes in circumstances during the quarter that would indicate that it is more likely than not that the fair value of any reporting unit was less than its carrying amount. Accordingly, no interim goodwill impairment test was considered required or performed.</w:t>
      </w:r>
    </w:p>
    <w:p>
      <w:pPr>
        <w:pStyle w:val="TextBody"/>
        <w:bidi w:val="0"/>
        <w:spacing w:lineRule="auto" w:line="288" w:before="1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we determined that a triggering event had occurred at the Company's Banking reporting unit as a result of deteriorated credit quality coupled with trends in the Company's stock price. The Company performed a quantitative impairment test on its Banking reporting unit as of March 31, 2025, and engaged a third-party service provider to assist with the determination of the fair value. The resulting calculation indicated that the carrying amount exceeded the fair value of the Company's Banking reporting unit. As a result of the assessment, the Company recognized a $154.0 million goodwill impairment charge in the first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6 – DERIVATIVE INSTRUMENTS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derivative instruments, which may include interest rate swaps and interest rate options, in connection with our risk-management activities. Our primary objective for using derivative financial instruments is to manage interest rate risk associated with our fixed-rate and variable-rate assets and liabilities.</w:t>
      </w:r>
    </w:p>
    <w:p>
      <w:pPr>
        <w:pStyle w:val="TextBody"/>
        <w:bidi w:val="0"/>
        <w:spacing w:lineRule="auto" w:line="288" w:before="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monitor our mix of fixed-rate and variable-rate assets and liabilities and may enter into interest rate swaps, forwards, and options to achieve a more desired mix of fixed-rate and variable-rate assets and liabilities. We execute these trades to modify our exposure to interest rate risk by converting certain fixed-rate instruments to a variable-rate and certain variable-rate instruments to a fixed-rate. We use a mix of both derivatives that qualify for hedge accounting treatment and economic hedges that do not qualify for hedge accounting treatment.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Derivatives qualifying for hedge accounting include fair value hedges and cash flow hedges. Fair value hedges include pay-fixed swaps of securities within our available-for-sale portfolio, and cash flow hedges include interest rate option contracts on certain securities within our available-for-sale portfolio, a portion of commercial and commercial real estate loans, and receive-fixed swaps of specific fixed-rate unsecured debt obligations and fixed-rate FHLB advances. Both the cash flow and fair value hedges were determined to be effective during all periods presented and the Company expects the hedges to remain effective during the remaining terms of the swaps. We also enter into interest rate lock commitments and forward commitments that are executed as part of our mortgage business that do not meet the accounting definition of hedges, as well as interest rate swap contracts sold to commercial customers who wish to modify their interest rate sensitivity. These swaps are offset by contracts simultaneously purchased by the Company from other financial dealer institutions with mirror-image terms. Because of the mirror-image terms of the offsetting contracts, in addition to collateral provisions which mitigate the impact of non-performance risk, changes in the fair value subsequent to initial recognition have a minimal effect on earnings.</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Balance Sheet Presentation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derivative instruments reported on our consolidated balance sheets. The amounts are presented on a gross basis, are segregated by derivatives that are designated and qualifying as hedging instruments or those that are not, and are further segregated by type of contract within those two categories. Derivative assets and derivative liabilities are included in other assets and accrued interest payable and other liabilities, respectively, on the consolidated balance sheets.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Notional amounts are reference amounts from which contractual obligations are derived and are not recorded on the balance sheet. In our view, derivative notional is not an accurate measure of our derivative exposure when viewed in isolation from other factors, such as market rate fluctuations and counterparty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35"/>
        <w:gridCol w:w="783"/>
        <w:gridCol w:w="786"/>
        <w:gridCol w:w="196"/>
        <w:gridCol w:w="556"/>
        <w:gridCol w:w="109"/>
        <w:gridCol w:w="109"/>
        <w:gridCol w:w="109"/>
        <w:gridCol w:w="109"/>
        <w:gridCol w:w="196"/>
        <w:gridCol w:w="556"/>
        <w:gridCol w:w="109"/>
        <w:gridCol w:w="109"/>
        <w:gridCol w:w="109"/>
        <w:gridCol w:w="109"/>
        <w:gridCol w:w="223"/>
        <w:gridCol w:w="840"/>
        <w:gridCol w:w="124"/>
        <w:gridCol w:w="109"/>
        <w:gridCol w:w="109"/>
        <w:gridCol w:w="109"/>
        <w:gridCol w:w="196"/>
        <w:gridCol w:w="556"/>
        <w:gridCol w:w="109"/>
        <w:gridCol w:w="109"/>
        <w:gridCol w:w="109"/>
        <w:gridCol w:w="109"/>
        <w:gridCol w:w="196"/>
        <w:gridCol w:w="556"/>
        <w:gridCol w:w="109"/>
        <w:gridCol w:w="109"/>
        <w:gridCol w:w="109"/>
        <w:gridCol w:w="109"/>
        <w:gridCol w:w="222"/>
        <w:gridCol w:w="835"/>
        <w:gridCol w:w="178"/>
      </w:tblGrid>
      <w:tr>
        <w:trPr/>
        <w:tc>
          <w:tcPr>
            <w:tcW w:w="113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 designated as accounting hedges: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hedges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 for sale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228,157 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Pools of commercial and commercial real estate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 brokered CDs and other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derivatives designated as accounting hedges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602,798 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743,157 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 not designated as accounting hedges: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lock commitments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Forward commitments to sell mortgage-backed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derivatives not designated as accounting hedges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73,659 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66,410 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70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70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70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70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amounts recorded in the consolidated balance sheets related to cumulative basis adjustments for fair value hedges:</w:t>
      </w:r>
    </w:p>
    <w:tbl>
      <w:tblPr>
        <w:tblW w:w="10205" w:type="dxa"/>
        <w:jc w:val="left"/>
        <w:tblInd w:w="0" w:type="dxa"/>
        <w:tblLayout w:type="fixed"/>
        <w:tblCellMar>
          <w:top w:w="28" w:type="dxa"/>
          <w:left w:w="28" w:type="dxa"/>
          <w:bottom w:w="28" w:type="dxa"/>
          <w:right w:w="28" w:type="dxa"/>
        </w:tblCellMar>
      </w:tblPr>
      <w:tblGrid>
        <w:gridCol w:w="704"/>
        <w:gridCol w:w="603"/>
        <w:gridCol w:w="605"/>
        <w:gridCol w:w="218"/>
        <w:gridCol w:w="820"/>
        <w:gridCol w:w="120"/>
        <w:gridCol w:w="118"/>
        <w:gridCol w:w="118"/>
        <w:gridCol w:w="118"/>
        <w:gridCol w:w="242"/>
        <w:gridCol w:w="912"/>
        <w:gridCol w:w="134"/>
        <w:gridCol w:w="109"/>
        <w:gridCol w:w="109"/>
        <w:gridCol w:w="109"/>
        <w:gridCol w:w="484"/>
        <w:gridCol w:w="1199"/>
        <w:gridCol w:w="269"/>
        <w:gridCol w:w="269"/>
        <w:gridCol w:w="269"/>
        <w:gridCol w:w="269"/>
        <w:gridCol w:w="484"/>
        <w:gridCol w:w="1532"/>
        <w:gridCol w:w="391"/>
      </w:tblGrid>
      <w:tr>
        <w:trPr/>
        <w:tc>
          <w:tcPr>
            <w:tcW w:w="70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of the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amount of fair value hedging adjustment included in the carrying amount of the hedged items</w:t>
            </w:r>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2407" w:type="dxa"/>
            <w:gridSpan w:val="3"/>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 for sale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352,968 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(2,293)</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Statement of Income Presentation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derivative instruments in fair value hedging relationships on the consolidated statements of income:</w:t>
      </w:r>
    </w:p>
    <w:tbl>
      <w:tblPr>
        <w:tblW w:w="10205" w:type="dxa"/>
        <w:jc w:val="left"/>
        <w:tblInd w:w="0" w:type="dxa"/>
        <w:tblLayout w:type="fixed"/>
        <w:tblCellMar>
          <w:top w:w="28" w:type="dxa"/>
          <w:left w:w="28" w:type="dxa"/>
          <w:bottom w:w="28" w:type="dxa"/>
          <w:right w:w="28" w:type="dxa"/>
        </w:tblCellMar>
      </w:tblPr>
      <w:tblGrid>
        <w:gridCol w:w="867"/>
        <w:gridCol w:w="394"/>
        <w:gridCol w:w="395"/>
        <w:gridCol w:w="467"/>
        <w:gridCol w:w="454"/>
        <w:gridCol w:w="455"/>
        <w:gridCol w:w="109"/>
        <w:gridCol w:w="109"/>
        <w:gridCol w:w="109"/>
        <w:gridCol w:w="214"/>
        <w:gridCol w:w="608"/>
        <w:gridCol w:w="119"/>
        <w:gridCol w:w="119"/>
        <w:gridCol w:w="119"/>
        <w:gridCol w:w="119"/>
        <w:gridCol w:w="214"/>
        <w:gridCol w:w="639"/>
        <w:gridCol w:w="119"/>
        <w:gridCol w:w="109"/>
        <w:gridCol w:w="109"/>
        <w:gridCol w:w="109"/>
        <w:gridCol w:w="552"/>
        <w:gridCol w:w="463"/>
        <w:gridCol w:w="465"/>
        <w:gridCol w:w="109"/>
        <w:gridCol w:w="109"/>
        <w:gridCol w:w="109"/>
        <w:gridCol w:w="224"/>
        <w:gridCol w:w="671"/>
        <w:gridCol w:w="124"/>
        <w:gridCol w:w="124"/>
        <w:gridCol w:w="124"/>
        <w:gridCol w:w="124"/>
        <w:gridCol w:w="224"/>
        <w:gridCol w:w="636"/>
        <w:gridCol w:w="191"/>
      </w:tblGrid>
      <w:tr>
        <w:trPr/>
        <w:tc>
          <w:tcPr>
            <w:tcW w:w="86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(loss) recognized in income on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(loss) recognized in income on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(loss) recognized in income on related 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(loss) recognized in income on related hedged items</w:t>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3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w:t>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Gain (loss) on fair value hedging relationships</w:t>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Fixed-rate mortgage-backed securities</w:t>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income on investment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income on investment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derivative instruments in cash flow hedging relationships on the consolidated statements of income:</w:t>
      </w:r>
    </w:p>
    <w:tbl>
      <w:tblPr>
        <w:tblW w:w="10205" w:type="dxa"/>
        <w:jc w:val="left"/>
        <w:tblInd w:w="0" w:type="dxa"/>
        <w:tblLayout w:type="fixed"/>
        <w:tblCellMar>
          <w:top w:w="28" w:type="dxa"/>
          <w:left w:w="28" w:type="dxa"/>
          <w:bottom w:w="28" w:type="dxa"/>
          <w:right w:w="28" w:type="dxa"/>
        </w:tblCellMar>
      </w:tblPr>
      <w:tblGrid>
        <w:gridCol w:w="641"/>
        <w:gridCol w:w="420"/>
        <w:gridCol w:w="422"/>
        <w:gridCol w:w="211"/>
        <w:gridCol w:w="455"/>
        <w:gridCol w:w="117"/>
        <w:gridCol w:w="117"/>
        <w:gridCol w:w="117"/>
        <w:gridCol w:w="117"/>
        <w:gridCol w:w="211"/>
        <w:gridCol w:w="601"/>
        <w:gridCol w:w="117"/>
        <w:gridCol w:w="117"/>
        <w:gridCol w:w="117"/>
        <w:gridCol w:w="117"/>
        <w:gridCol w:w="109"/>
        <w:gridCol w:w="1396"/>
        <w:gridCol w:w="564"/>
        <w:gridCol w:w="325"/>
        <w:gridCol w:w="327"/>
        <w:gridCol w:w="109"/>
        <w:gridCol w:w="109"/>
        <w:gridCol w:w="109"/>
        <w:gridCol w:w="109"/>
        <w:gridCol w:w="149"/>
        <w:gridCol w:w="149"/>
        <w:gridCol w:w="149"/>
        <w:gridCol w:w="269"/>
        <w:gridCol w:w="578"/>
        <w:gridCol w:w="149"/>
        <w:gridCol w:w="109"/>
        <w:gridCol w:w="109"/>
        <w:gridCol w:w="109"/>
        <w:gridCol w:w="196"/>
        <w:gridCol w:w="580"/>
        <w:gridCol w:w="109"/>
        <w:gridCol w:w="109"/>
        <w:gridCol w:w="109"/>
        <w:gridCol w:w="109"/>
        <w:gridCol w:w="169"/>
      </w:tblGrid>
      <w:tr>
        <w:trPr/>
        <w:tc>
          <w:tcPr>
            <w:tcW w:w="64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(loss) recognized in AOCI on derivative</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(loss) recognized in income on derivative</w:t>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(loss) reclassified from AOCI into income</w:t>
            </w:r>
          </w:p>
        </w:tc>
        <w:tc>
          <w:tcPr>
            <w:tcW w:w="1708" w:type="dxa"/>
            <w:gridSpan w:val="10"/>
            <w:tcBorders/>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vMerge w:val="continue"/>
            <w:tcBorders/>
            <w:tcMar>
              <w:top w:w="0" w:type="dxa"/>
              <w:left w:w="0" w:type="dxa"/>
              <w:bottom w:w="0" w:type="dxa"/>
              <w:right w:w="0" w:type="dxa"/>
            </w:tcMar>
            <w:vAlign w:val="center"/>
          </w:tcPr>
          <w:p>
            <w:pPr>
              <w:pStyle w:val="Normal"/>
              <w:bidi w:val="0"/>
              <w:jc w:val="left"/>
              <w:rPr/>
            </w:pPr>
            <w:r>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w:t>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Gain (loss) on cash flow hedging relationships</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90"/>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Pools of commercial and commercial real estate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income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90"/>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 for sale</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income on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90"/>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 brokered CDs and other borrowings</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90"/>
              <w:jc w:val="left"/>
              <w:rPr>
                <w:sz w:val="4"/>
                <w:szCs w:val="4"/>
              </w:rPr>
            </w:pPr>
            <w:r>
              <w:rPr>
                <w:sz w:val="4"/>
                <w:szCs w:val="4"/>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 brokered CDs and other borrowings</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90"/>
              <w:jc w:val="left"/>
              <w:rPr>
                <w:sz w:val="4"/>
                <w:szCs w:val="4"/>
              </w:rPr>
            </w:pPr>
            <w:r>
              <w:rPr>
                <w:sz w:val="4"/>
                <w:szCs w:val="4"/>
              </w:rPr>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(loss) on cash flow hedging relationships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next 12 months, we estimate $1.7 million of losses will be reclassified into pre-tax earnings from derivatives designated as cash flow hedges.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derivative instruments not designated as accounting hedges on the consolidated statements of income:</w:t>
      </w:r>
    </w:p>
    <w:tbl>
      <w:tblPr>
        <w:tblW w:w="10205" w:type="dxa"/>
        <w:jc w:val="left"/>
        <w:tblInd w:w="0" w:type="dxa"/>
        <w:tblLayout w:type="fixed"/>
        <w:tblCellMar>
          <w:top w:w="28" w:type="dxa"/>
          <w:left w:w="28" w:type="dxa"/>
          <w:bottom w:w="28" w:type="dxa"/>
          <w:right w:w="28" w:type="dxa"/>
        </w:tblCellMar>
      </w:tblPr>
      <w:tblGrid>
        <w:gridCol w:w="1604"/>
        <w:gridCol w:w="1397"/>
        <w:gridCol w:w="1402"/>
        <w:gridCol w:w="1136"/>
        <w:gridCol w:w="1136"/>
        <w:gridCol w:w="1140"/>
        <w:gridCol w:w="196"/>
        <w:gridCol w:w="421"/>
        <w:gridCol w:w="109"/>
        <w:gridCol w:w="109"/>
        <w:gridCol w:w="109"/>
        <w:gridCol w:w="109"/>
        <w:gridCol w:w="196"/>
        <w:gridCol w:w="331"/>
        <w:gridCol w:w="109"/>
        <w:gridCol w:w="109"/>
        <w:gridCol w:w="109"/>
        <w:gridCol w:w="109"/>
        <w:gridCol w:w="109"/>
        <w:gridCol w:w="109"/>
        <w:gridCol w:w="156"/>
      </w:tblGrid>
      <w:tr>
        <w:trPr/>
        <w:tc>
          <w:tcPr>
            <w:tcW w:w="160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341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recognized in income on derivative</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w:t>
            </w:r>
          </w:p>
        </w:tc>
        <w:tc>
          <w:tcPr>
            <w:tcW w:w="3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Gain on derivative instruments not designated as accounting hedges</w:t>
            </w:r>
          </w:p>
        </w:tc>
        <w:tc>
          <w:tcPr>
            <w:tcW w:w="3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Residential mortgage banking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03" w:type="dxa"/>
            <w:gridSpan w:val="3"/>
            <w:tcBorders/>
            <w:vAlign w:val="center"/>
          </w:tcPr>
          <w:p>
            <w:pPr>
              <w:pStyle w:val="TableContents"/>
              <w:bidi w:val="0"/>
              <w:spacing w:before="0" w:after="283"/>
              <w:jc w:val="left"/>
              <w:rPr>
                <w:sz w:val="4"/>
                <w:szCs w:val="4"/>
              </w:rPr>
            </w:pPr>
            <w:r>
              <w:rPr>
                <w:sz w:val="4"/>
                <w:szCs w:val="4"/>
              </w:rPr>
            </w:r>
          </w:p>
        </w:tc>
        <w:tc>
          <w:tcPr>
            <w:tcW w:w="341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781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on derivative instruments not designated as accounting hedges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7 – DEPOSITS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classification of deposits as of March 31, 2026 and December 31, 2025:</w:t>
      </w:r>
    </w:p>
    <w:tbl>
      <w:tblPr>
        <w:tblW w:w="5229" w:type="dxa"/>
        <w:jc w:val="center"/>
        <w:tblInd w:w="0" w:type="dxa"/>
        <w:tblLayout w:type="fixed"/>
        <w:tblCellMar>
          <w:top w:w="28" w:type="dxa"/>
          <w:left w:w="28" w:type="dxa"/>
          <w:bottom w:w="28" w:type="dxa"/>
          <w:right w:w="28" w:type="dxa"/>
        </w:tblCellMar>
      </w:tblPr>
      <w:tblGrid>
        <w:gridCol w:w="759"/>
        <w:gridCol w:w="669"/>
        <w:gridCol w:w="671"/>
        <w:gridCol w:w="210"/>
        <w:gridCol w:w="933"/>
        <w:gridCol w:w="116"/>
        <w:gridCol w:w="109"/>
        <w:gridCol w:w="109"/>
        <w:gridCol w:w="109"/>
        <w:gridCol w:w="248"/>
        <w:gridCol w:w="1102"/>
        <w:gridCol w:w="19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demand</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1,013,808 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1,040,411 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Checking</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1,886,212 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1,855,215 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1,295,781 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1,248,942 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495,899 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487,742 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748,367 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792,069 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5,440,067 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5,424,379 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8 – SHORT-TERM BORROWINGS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short-term borrowings as of March 31, 2026 and December 31, 2025:</w:t>
      </w:r>
    </w:p>
    <w:tbl>
      <w:tblPr>
        <w:tblW w:w="6312" w:type="dxa"/>
        <w:jc w:val="center"/>
        <w:tblInd w:w="0" w:type="dxa"/>
        <w:tblLayout w:type="fixed"/>
        <w:tblCellMar>
          <w:top w:w="28" w:type="dxa"/>
          <w:left w:w="28" w:type="dxa"/>
          <w:bottom w:w="28" w:type="dxa"/>
          <w:right w:w="28" w:type="dxa"/>
        </w:tblCellMar>
      </w:tblPr>
      <w:tblGrid>
        <w:gridCol w:w="1150"/>
        <w:gridCol w:w="1013"/>
        <w:gridCol w:w="1017"/>
        <w:gridCol w:w="237"/>
        <w:gridCol w:w="891"/>
        <w:gridCol w:w="132"/>
        <w:gridCol w:w="109"/>
        <w:gridCol w:w="109"/>
        <w:gridCol w:w="109"/>
        <w:gridCol w:w="304"/>
        <w:gridCol w:w="1002"/>
        <w:gridCol w:w="239"/>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repurchase agreements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AFX borrowings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short-term borrowings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153,425 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60,181 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sold under agreements to repurchase, which are classified as secured borrowings, generally mature within one to four days from the transaction date. Securities sold under agreements to repurchase are reflected at the amount of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received in connection with the transaction, which represents the amount of the Bank’s obligation. The Bank may be required to provide additional collateral based on the fair value of the underlying securities. The weighted-average interest rate on securities sold under agreements to repurchase was 0.25% and 0.26% at March 31, 2026 and December 31, 2025, respectively. Investment securities with a carrying amount of $10.1 million and $12.2 million at March 31, 2026 and December 31, 2025, respectively, were pledged for securities sold under agreements to repurchase.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Bank also utilizes unsecured short-term borrowings, including transactions executed through the AFX, to manage liquidity needs. AFX borrowings are generally overnight in nature and are priced at market rates, typically based on AMERIBOR, which ranged from 3.68% to 3.695% at March 31, 2026 and 3.695% to 3.74%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9 – FHLB ADVANCES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FHLB advances as of March 31, 2026 and December 31, 2025:</w:t>
      </w:r>
    </w:p>
    <w:tbl>
      <w:tblPr>
        <w:tblW w:w="10205" w:type="dxa"/>
        <w:jc w:val="left"/>
        <w:tblInd w:w="0" w:type="dxa"/>
        <w:tblLayout w:type="fixed"/>
        <w:tblCellMar>
          <w:top w:w="28" w:type="dxa"/>
          <w:left w:w="28" w:type="dxa"/>
          <w:bottom w:w="28" w:type="dxa"/>
          <w:right w:w="28" w:type="dxa"/>
        </w:tblCellMar>
      </w:tblPr>
      <w:tblGrid>
        <w:gridCol w:w="2735"/>
        <w:gridCol w:w="2336"/>
        <w:gridCol w:w="2345"/>
        <w:gridCol w:w="216"/>
        <w:gridCol w:w="812"/>
        <w:gridCol w:w="120"/>
        <w:gridCol w:w="109"/>
        <w:gridCol w:w="109"/>
        <w:gridCol w:w="109"/>
        <w:gridCol w:w="236"/>
        <w:gridCol w:w="888"/>
        <w:gridCol w:w="190"/>
      </w:tblGrid>
      <w:tr>
        <w:trPr/>
        <w:tc>
          <w:tcPr>
            <w:tcW w:w="2735"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FHLB advances – fixed rate, fixed term at rates averaging 3.97% and 4.08% at March 31, 2026 and December 31, 2025 - maturing through October 2029</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168,000 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FHLB advances – putable fixed rate at rates averaging 3.68% and 4.00% at March 31, 2026 and December 31, 2025, respectively – maturing through July 2034 with call provisions through May 2026</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Total FHLB advances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238,000 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293,000 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advances from the FHLB are collateralized by a blanket collateral agreement of qualifying mortgage and home equity line of credit loans and certain commercial real estate loans totaling approximately $2.77 billion and $2.87 billion at March 31, 2026 and December 31, 2025, respectively. Based on this collateral, the Company was eligible to borrow $0.87 billion from the FHLB at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10 – SUBORDINATED DEBT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subordinated debt at March 31, 2026 and December 31, 2025:</w:t>
      </w:r>
    </w:p>
    <w:tbl>
      <w:tblPr>
        <w:tblW w:w="8122" w:type="dxa"/>
        <w:jc w:val="left"/>
        <w:tblInd w:w="0" w:type="dxa"/>
        <w:tblLayout w:type="fixed"/>
        <w:tblCellMar>
          <w:top w:w="28" w:type="dxa"/>
          <w:left w:w="28" w:type="dxa"/>
          <w:bottom w:w="28" w:type="dxa"/>
          <w:right w:w="28" w:type="dxa"/>
        </w:tblCellMar>
      </w:tblPr>
      <w:tblGrid>
        <w:gridCol w:w="878"/>
        <w:gridCol w:w="774"/>
        <w:gridCol w:w="777"/>
        <w:gridCol w:w="109"/>
        <w:gridCol w:w="109"/>
        <w:gridCol w:w="901"/>
        <w:gridCol w:w="2983"/>
        <w:gridCol w:w="1110"/>
        <w:gridCol w:w="109"/>
        <w:gridCol w:w="109"/>
        <w:gridCol w:w="109"/>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Subordinated debt</w:t>
            </w:r>
          </w:p>
        </w:tc>
        <w:tc>
          <w:tcPr>
            <w:tcW w:w="481" w:type="dxa"/>
            <w:gridSpan w:val="4"/>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to Float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 September 2019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27,250 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27,024 </w:t>
            </w:r>
          </w:p>
        </w:tc>
        <w:tc>
          <w:tcPr>
            <w:tcW w:w="1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27,250 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27,019 </w:t>
            </w:r>
          </w:p>
        </w:tc>
        <w:tc>
          <w:tcPr>
            <w:tcW w:w="1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Maturity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Optional redemption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to variable conversion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3-month SOFR plus 4.05%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payment terms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Semiannually through 9/30/2029; Quarterly for all subsequent periods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value of subordinated debentures has been reduced by the debt issuance costs, which are being amortized on a straight line basis through the earlier of the redemption option or maturity date. The subordinated debentures above may be included in Tier 2 capital (with certain limitations applicable) under current regulatory guidelines and interpretations.</w:t>
      </w:r>
    </w:p>
    <w:p>
      <w:pPr>
        <w:pStyle w:val="TextBody"/>
        <w:bidi w:val="0"/>
        <w:spacing w:before="12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 ACCUMULATED OTHER COMPREHENSIVE INCOME (LOSS)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within each classification of AOCI, net of tax:</w:t>
      </w:r>
    </w:p>
    <w:tbl>
      <w:tblPr>
        <w:tblW w:w="10205" w:type="dxa"/>
        <w:jc w:val="left"/>
        <w:tblInd w:w="0" w:type="dxa"/>
        <w:tblLayout w:type="fixed"/>
        <w:tblCellMar>
          <w:top w:w="28" w:type="dxa"/>
          <w:left w:w="28" w:type="dxa"/>
          <w:bottom w:w="28" w:type="dxa"/>
          <w:right w:w="28" w:type="dxa"/>
        </w:tblCellMar>
      </w:tblPr>
      <w:tblGrid>
        <w:gridCol w:w="1141"/>
        <w:gridCol w:w="865"/>
        <w:gridCol w:w="867"/>
        <w:gridCol w:w="630"/>
        <w:gridCol w:w="2292"/>
        <w:gridCol w:w="350"/>
        <w:gridCol w:w="109"/>
        <w:gridCol w:w="109"/>
        <w:gridCol w:w="109"/>
        <w:gridCol w:w="498"/>
        <w:gridCol w:w="1583"/>
        <w:gridCol w:w="277"/>
        <w:gridCol w:w="109"/>
        <w:gridCol w:w="109"/>
        <w:gridCol w:w="109"/>
        <w:gridCol w:w="196"/>
        <w:gridCol w:w="694"/>
        <w:gridCol w:w="158"/>
      </w:tblGrid>
      <w:tr>
        <w:trPr/>
        <w:tc>
          <w:tcPr>
            <w:tcW w:w="114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and losses on investment securities available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and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Changes in AOCI for the three months ended March 31, 2026</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2025</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(59,217)</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before reclassifications</w:t>
            </w:r>
          </w:p>
        </w:tc>
        <w:tc>
          <w:tcPr>
            <w:tcW w:w="2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(10,870)</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Amounts reclassified from AOCI to income </w:t>
            </w:r>
            <w:r>
              <w:rPr>
                <w:rFonts w:ascii="Times New Roman;serif" w:hAnsi="Times New Roman;serif"/>
                <w:b w:val="false"/>
                <w:color w:val="000000"/>
                <w:sz w:val="10"/>
              </w:rPr>
              <w:t>(1)</w:t>
            </w:r>
          </w:p>
        </w:tc>
        <w:tc>
          <w:tcPr>
            <w:tcW w:w="2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2026</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(68,796)</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Changes in AOCI for the three months ended March 31, 2025</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(79,021)</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before reclassifications</w:t>
            </w:r>
          </w:p>
        </w:tc>
        <w:tc>
          <w:tcPr>
            <w:tcW w:w="2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Amounts reclassified from AOCI to income </w:t>
            </w:r>
            <w:r>
              <w:rPr>
                <w:rFonts w:ascii="Times New Roman;serif" w:hAnsi="Times New Roman;serif"/>
                <w:b w:val="false"/>
                <w:color w:val="000000"/>
                <w:sz w:val="10"/>
              </w:rPr>
              <w:t>(1)</w:t>
            </w:r>
          </w:p>
        </w:tc>
        <w:tc>
          <w:tcPr>
            <w:tcW w:w="2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(70,667)</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(72,339)</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7332" w:type="dxa"/>
            <w:gridSpan w:val="15"/>
            <w:tcBorders/>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7332" w:type="dxa"/>
            <w:gridSpan w:val="15"/>
            <w:tcBorders/>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7332" w:type="dxa"/>
            <w:gridSpan w:val="15"/>
            <w:tcBorders/>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See table below for details related to reclassifications to income.</w:t>
      </w:r>
    </w:p>
    <w:p>
      <w:pPr>
        <w:pStyle w:val="TextBody"/>
        <w:bidi w:val="0"/>
        <w:spacing w:before="80" w:after="240"/>
        <w:ind w:left="0" w:right="0" w:firstLine="720"/>
        <w:jc w:val="left"/>
        <w:rPr/>
      </w:pPr>
      <w:r>
        <w:rPr/>
      </w:r>
    </w:p>
    <w:p>
      <w:pPr>
        <w:pStyle w:val="TextBody"/>
        <w:bidi w:val="0"/>
        <w:spacing w:lineRule="auto" w:line="288" w:before="8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amounts reclassified out of each component of AOCI:</w:t>
      </w:r>
    </w:p>
    <w:tbl>
      <w:tblPr>
        <w:tblW w:w="10205" w:type="dxa"/>
        <w:jc w:val="left"/>
        <w:tblInd w:w="0" w:type="dxa"/>
        <w:tblLayout w:type="fixed"/>
        <w:tblCellMar>
          <w:top w:w="28" w:type="dxa"/>
          <w:left w:w="28" w:type="dxa"/>
          <w:bottom w:w="28" w:type="dxa"/>
          <w:right w:w="28" w:type="dxa"/>
        </w:tblCellMar>
      </w:tblPr>
      <w:tblGrid>
        <w:gridCol w:w="1250"/>
        <w:gridCol w:w="1055"/>
        <w:gridCol w:w="1059"/>
        <w:gridCol w:w="219"/>
        <w:gridCol w:w="684"/>
        <w:gridCol w:w="121"/>
        <w:gridCol w:w="121"/>
        <w:gridCol w:w="121"/>
        <w:gridCol w:w="121"/>
        <w:gridCol w:w="219"/>
        <w:gridCol w:w="532"/>
        <w:gridCol w:w="121"/>
        <w:gridCol w:w="2266"/>
        <w:gridCol w:w="109"/>
        <w:gridCol w:w="693"/>
        <w:gridCol w:w="622"/>
        <w:gridCol w:w="892"/>
      </w:tblGrid>
      <w:tr>
        <w:trPr/>
        <w:tc>
          <w:tcPr>
            <w:tcW w:w="12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4"/>
            <w:tcBorders/>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Details about AOCI components</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w:t>
            </w:r>
          </w:p>
        </w:tc>
        <w:tc>
          <w:tcPr>
            <w:tcW w:w="2266" w:type="dxa"/>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6"/>
              </w:rPr>
            </w:pPr>
            <w:r>
              <w:rPr>
                <w:rFonts w:ascii="Times New Roman;serif" w:hAnsi="Times New Roman;serif"/>
                <w:b/>
                <w:color w:val="000000"/>
                <w:sz w:val="16"/>
              </w:rPr>
              <w:t>Affected line item in the statement of income</w:t>
            </w:r>
          </w:p>
        </w:tc>
        <w:tc>
          <w:tcPr>
            <w:tcW w:w="2316" w:type="dxa"/>
            <w:gridSpan w:val="4"/>
            <w:tcBorders/>
          </w:tcPr>
          <w:p>
            <w:pPr>
              <w:pStyle w:val="TableContents"/>
              <w:bidi w:val="0"/>
              <w:spacing w:before="0" w:after="283"/>
              <w:jc w:val="left"/>
              <w:rPr>
                <w:sz w:val="4"/>
                <w:szCs w:val="4"/>
              </w:rPr>
            </w:pPr>
            <w:r>
              <w:rPr>
                <w:sz w:val="4"/>
                <w:szCs w:val="4"/>
              </w:rPr>
            </w:r>
          </w:p>
        </w:tc>
      </w:tr>
      <w:tr>
        <w:trPr/>
        <w:tc>
          <w:tcPr>
            <w:tcW w:w="3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and losses on investment securities available for sale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(expense)</w:t>
            </w:r>
          </w:p>
        </w:tc>
      </w:tr>
      <w:tr>
        <w:trPr/>
        <w:tc>
          <w:tcPr>
            <w:tcW w:w="336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sales of investment securities, net</w:t>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and losses on cash flow hedges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(expense)</w:t>
            </w:r>
          </w:p>
        </w:tc>
      </w:tr>
      <w:tr>
        <w:trPr/>
        <w:tc>
          <w:tcPr>
            <w:tcW w:w="336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termination of interest rate swaps</w:t>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r>
    </w:tbl>
    <w:p>
      <w:pPr>
        <w:pStyle w:val="TextBody"/>
        <w:bidi w:val="0"/>
        <w:spacing w:before="8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12 – EARNINGS PER COMMON SHARE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Earnings per common share is calculated utilizing the two-class method. Basic earnings per common share is calculated by dividing the sum of distributed earnings to common shareholders and undistributed earnings allocated to common shareholders by the weighted average number of common shares outstanding. Diluted earnings per common share is calculated by dividing the sum of distributed earnings to common shareholders and undistributed earnings allocated to common shareholders by the weighted average number of shares adjusted for the dilutive effect of common stock awards. Presented below are the calculations for basic and diluted earnings per common share for the three months ended March 31, 2026 and 2025:</w:t>
      </w:r>
    </w:p>
    <w:tbl>
      <w:tblPr>
        <w:tblW w:w="8358" w:type="dxa"/>
        <w:jc w:val="center"/>
        <w:tblInd w:w="0" w:type="dxa"/>
        <w:tblLayout w:type="fixed"/>
        <w:tblCellMar>
          <w:top w:w="28" w:type="dxa"/>
          <w:left w:w="28" w:type="dxa"/>
          <w:bottom w:w="28" w:type="dxa"/>
          <w:right w:w="28" w:type="dxa"/>
        </w:tblCellMar>
      </w:tblPr>
      <w:tblGrid>
        <w:gridCol w:w="1863"/>
        <w:gridCol w:w="1638"/>
        <w:gridCol w:w="1643"/>
        <w:gridCol w:w="223"/>
        <w:gridCol w:w="738"/>
        <w:gridCol w:w="109"/>
        <w:gridCol w:w="109"/>
        <w:gridCol w:w="109"/>
        <w:gridCol w:w="109"/>
        <w:gridCol w:w="196"/>
        <w:gridCol w:w="813"/>
        <w:gridCol w:w="109"/>
        <w:gridCol w:w="109"/>
        <w:gridCol w:w="109"/>
        <w:gridCol w:w="109"/>
        <w:gridCol w:w="109"/>
        <w:gridCol w:w="109"/>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 except per share data)</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available to common shareholders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shareholder dividends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Unvested restricted stock award dividends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Undistributed earnings to unvested restricted stock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Undistributed earnings (loss) to common shareholders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Basic</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Distributed earnings to common shareholders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Undistributed earnings (loss) to common shareholders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common shareholders earnings (loss), basic</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Diluted</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Distributed earnings to common shareholders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Undistributed earnings (loss) to common shareholders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common shareholders earnings (loss)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back:</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Undistributed earnings reallocated from unvested restricted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common shareholders earnings (loss), diluted</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basic</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21,301,246 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21,795,570 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Dilutive effect of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diluted</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21,795,570 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(loss) per common share</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 xml:space="preserve">Antidilutive stock options </w:t>
            </w:r>
            <w:r>
              <w:rPr>
                <w:rFonts w:ascii="Times New Roman;serif" w:hAnsi="Times New Roman;serif"/>
                <w:b w:val="false"/>
                <w:color w:val="000000"/>
                <w:sz w:val="10"/>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diluted earnings per common share computation excludes antidilutive stock options because the exercise prices of these stock options exceeded the average market prices of the Company's common shares for those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13 – FAIR VALUE OF FINANCIAL INSTRUMENTS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to sell an asset or paid to transfer a liability in an orderly transaction between market participants at the measurement date reflecting assumptions that a market participant would use when pricing an asset or liability. The hierarchy uses three levels of inputs to measure the fair value of assets and liabilities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Unadjusted quoted prices for identical assets or liabilities traded in active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Level 2: Significant other observable inputs other than Level 1, including quoted prices for similar assets and liabilities in active markets, quoted prices in less active markets, or other observable inputs that can be corroborated by observable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Level 3: Significant unobservable inputs that reflect a company’s own assumptions about the assumptions that market participants would use in pricing an asset or liability.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used the following methods and significant assumptions to estimate the fair value of each type of financial instrument:</w:t>
      </w:r>
    </w:p>
    <w:p>
      <w:pPr>
        <w:pStyle w:val="TextBody"/>
        <w:bidi w:val="0"/>
        <w:spacing w:lineRule="auto" w:line="288" w:before="120" w:after="240"/>
        <w:ind w:left="0" w:right="0" w:firstLine="720"/>
        <w:jc w:val="left"/>
        <w:rPr/>
      </w:pPr>
      <w:r>
        <w:rPr>
          <w:rFonts w:ascii="Times New Roman;serif" w:hAnsi="Times New Roman;serif"/>
          <w:b/>
          <w:i/>
          <w:color w:val="000000"/>
          <w:sz w:val="20"/>
        </w:rPr>
        <w:t>Investment securities.</w:t>
      </w:r>
      <w:r>
        <w:rPr>
          <w:color w:val="000000"/>
        </w:rPr>
        <w:t xml:space="preserve"> </w:t>
      </w:r>
      <w:r>
        <w:rPr>
          <w:rFonts w:ascii="Times New Roman;serif" w:hAnsi="Times New Roman;serif"/>
          <w:b w:val="false"/>
          <w:color w:val="000000"/>
          <w:sz w:val="20"/>
        </w:rPr>
        <w:t>The fair value of investment securities available for sale are determined by quoted market prices, if available (Level 1). For investment securities available for sale where quoted prices are not available, fair values are calculated based on market prices of similar securities (Level 2). For investment securities available for sale where quoted prices or market prices of similar securities are not available, fair values are calculated using discounted cash flows or other market indicators (Level 3). Securities classified as Level 3 are not actively traded, and as a result, fair value is determined utilizing third-party valuation services through consensus pricing. There were no transfers between Levels 1, 2 or 3 during the period presented for assets measured at fair value on a recurring basis. The fair value of equity securities is determined using quoted prices or market prices for similar securities (Level 1).</w:t>
      </w:r>
    </w:p>
    <w:p>
      <w:pPr>
        <w:pStyle w:val="TextBody"/>
        <w:bidi w:val="0"/>
        <w:spacing w:lineRule="auto" w:line="288" w:before="120" w:after="240"/>
        <w:ind w:left="0" w:right="0" w:firstLine="720"/>
        <w:jc w:val="left"/>
        <w:rPr/>
      </w:pPr>
      <w:r>
        <w:rPr>
          <w:rFonts w:ascii="Times New Roman;serif" w:hAnsi="Times New Roman;serif"/>
          <w:b/>
          <w:i/>
          <w:color w:val="000000"/>
          <w:sz w:val="20"/>
        </w:rPr>
        <w:t>Residential loans held for sale.</w:t>
      </w:r>
      <w:r>
        <w:rPr>
          <w:color w:val="000000"/>
        </w:rPr>
        <w:t xml:space="preserve"> </w:t>
      </w:r>
      <w:r>
        <w:rPr>
          <w:rFonts w:ascii="Times New Roman;serif" w:hAnsi="Times New Roman;serif"/>
          <w:b w:val="false"/>
          <w:color w:val="000000"/>
          <w:sz w:val="20"/>
        </w:rPr>
        <w:t>The fair value of residential loans held for sale is determined using quoted prices for a similar asset, adjusted for specific attributes of that loan (Level 2).</w:t>
      </w:r>
    </w:p>
    <w:p>
      <w:pPr>
        <w:pStyle w:val="TextBody"/>
        <w:bidi w:val="0"/>
        <w:spacing w:lineRule="auto" w:line="288" w:before="120" w:after="240"/>
        <w:ind w:left="0" w:right="0" w:firstLine="720"/>
        <w:jc w:val="left"/>
        <w:rPr/>
      </w:pPr>
      <w:r>
        <w:rPr>
          <w:rFonts w:ascii="Times New Roman;serif" w:hAnsi="Times New Roman;serif"/>
          <w:b/>
          <w:i/>
          <w:color w:val="000000"/>
          <w:sz w:val="20"/>
        </w:rPr>
        <w:t xml:space="preserve">Credit enhancement asset. </w:t>
      </w:r>
      <w:r>
        <w:rPr>
          <w:rFonts w:ascii="Times New Roman;serif" w:hAnsi="Times New Roman;serif"/>
          <w:b w:val="false"/>
          <w:color w:val="000000"/>
          <w:sz w:val="20"/>
        </w:rPr>
        <w:t>The fair value of the credit enhancement asset is calculated using the Income Approach Valuation Method (Level 3).</w:t>
      </w:r>
    </w:p>
    <w:p>
      <w:pPr>
        <w:pStyle w:val="TextBody"/>
        <w:bidi w:val="0"/>
        <w:spacing w:lineRule="auto" w:line="288" w:before="120" w:after="240"/>
        <w:ind w:left="0" w:right="0" w:firstLine="720"/>
        <w:jc w:val="left"/>
        <w:rPr/>
      </w:pPr>
      <w:r>
        <w:rPr>
          <w:rFonts w:ascii="Times New Roman;serif" w:hAnsi="Times New Roman;serif"/>
          <w:b/>
          <w:i/>
          <w:color w:val="000000"/>
          <w:sz w:val="20"/>
        </w:rPr>
        <w:t>Derivative instruments.</w:t>
      </w:r>
      <w:r>
        <w:rPr>
          <w:color w:val="000000"/>
        </w:rPr>
        <w:t xml:space="preserve"> </w:t>
      </w:r>
      <w:r>
        <w:rPr>
          <w:rFonts w:ascii="Times New Roman;serif" w:hAnsi="Times New Roman;serif"/>
          <w:b w:val="false"/>
          <w:color w:val="000000"/>
          <w:sz w:val="20"/>
        </w:rPr>
        <w:t>The fair value of derivative instruments are determined based on derivative valuation models using observable market data as of the measurement date (Level 2).</w:t>
      </w:r>
    </w:p>
    <w:p>
      <w:pPr>
        <w:pStyle w:val="TextBody"/>
        <w:bidi w:val="0"/>
        <w:spacing w:lineRule="auto" w:line="276" w:before="0" w:after="0"/>
        <w:ind w:left="0" w:right="0" w:firstLine="720"/>
        <w:jc w:val="left"/>
        <w:rPr/>
      </w:pPr>
      <w:r>
        <w:rPr>
          <w:rFonts w:ascii="Times New Roman;serif" w:hAnsi="Times New Roman;serif"/>
          <w:b/>
          <w:i/>
          <w:color w:val="000000"/>
          <w:sz w:val="20"/>
        </w:rPr>
        <w:t>Collateral dependent loans.</w:t>
      </w:r>
      <w:r>
        <w:rPr>
          <w:color w:val="000000"/>
        </w:rPr>
        <w:t xml:space="preserve"> </w:t>
      </w:r>
      <w:r>
        <w:rPr>
          <w:rFonts w:ascii="Times New Roman;serif" w:hAnsi="Times New Roman;serif"/>
          <w:b w:val="false"/>
          <w:color w:val="000000"/>
          <w:sz w:val="20"/>
        </w:rPr>
        <w:t>Collateral dependent loans are reviewed individually for estimated credit losses. For collateral dependent loans for which repayment is expected to be provided substantially through the operation or sale of the collateral, the Company estimates expected credit losses based on the fair value of the collateral, adjusted for estimated costs to sell when repayment is expected from sale. The fair value of collateral is generally based on independent appraisals, broker price opinions, observable market data, or other valuation techniques, as adjusted for changes in market conditions, collateral condition, liquidation costs, and other relevant factors. Measurements based on observable market information with no significant unobservable adjustments are classified as Level 2. Measurements that include significant unobservable inputs, including management adjustments to appraised values, liquidation discounts, collateral condition assumptions, guarantor support, or discounted cash flow assumptions, are classified as Level 3.</w:t>
      </w:r>
    </w:p>
    <w:p>
      <w:pPr>
        <w:pStyle w:val="TextBody"/>
        <w:bidi w:val="0"/>
        <w:spacing w:lineRule="auto" w:line="288" w:before="120" w:after="240"/>
        <w:ind w:left="0" w:right="0" w:firstLine="720"/>
        <w:jc w:val="left"/>
        <w:rPr/>
      </w:pPr>
      <w:r>
        <w:rPr>
          <w:rFonts w:ascii="Times New Roman;serif" w:hAnsi="Times New Roman;serif"/>
          <w:b/>
          <w:i/>
          <w:color w:val="000000"/>
          <w:sz w:val="20"/>
        </w:rPr>
        <w:t>Commercial loans held for sale.</w:t>
      </w:r>
      <w:r>
        <w:rPr>
          <w:color w:val="000000"/>
        </w:rPr>
        <w:t xml:space="preserve"> </w:t>
      </w:r>
      <w:r>
        <w:rPr>
          <w:rFonts w:ascii="Times New Roman;serif" w:hAnsi="Times New Roman;serif"/>
          <w:b w:val="false"/>
          <w:color w:val="000000"/>
          <w:sz w:val="20"/>
        </w:rPr>
        <w:t>The fair value of commercial loans held for sale may be based upon third party bids to purchase the specific notes, or the estimated fair value of the underlying collateral. The fair value of the collateral is based on estimated market prices from an independently prepared appraisal, which is adjusted to reflect the cost of liquidating such collateral, and various other factors such as the age of the appraisal or known changes in the market or the collateral, such valuation inputs are considered unobservable (Level 3).</w:t>
      </w:r>
    </w:p>
    <w:p>
      <w:pPr>
        <w:pStyle w:val="TextBody"/>
        <w:bidi w:val="0"/>
        <w:spacing w:lineRule="auto" w:line="288" w:before="0" w:after="120"/>
        <w:ind w:left="0" w:right="0" w:firstLine="720"/>
        <w:jc w:val="left"/>
        <w:rPr/>
      </w:pPr>
      <w:r>
        <w:rPr>
          <w:rFonts w:ascii="Times New Roman;serif" w:hAnsi="Times New Roman;serif"/>
          <w:b/>
          <w:i/>
          <w:color w:val="000000"/>
          <w:sz w:val="20"/>
        </w:rPr>
        <w:t xml:space="preserve">Other real estate owned. </w:t>
      </w:r>
      <w:r>
        <w:rPr>
          <w:rFonts w:ascii="Times New Roman;serif" w:hAnsi="Times New Roman;serif"/>
          <w:b w:val="false"/>
          <w:color w:val="000000"/>
          <w:sz w:val="20"/>
        </w:rPr>
        <w:t xml:space="preserve">OREO is initially recorded at fair value at the date of foreclosure less estimated costs of disposal, which establishes a new cost basis. After foreclosure, OREO is held for sale and is carried at the lower of cost or fair value less estimated costs of disposal. Fair value for OREO is based on an appraisal performed upon foreclosure. Adjustments are routinely made in the appraisal process by the independent appraisers to adjust for differences between comparable sales and income data available. Property is evaluated regularly to ensure the recorded amount is supported by its fair value less estimated costs to dispose. After the initial foreclosure appraisal, fair value is generally determined by an annual appraisal unless known events warrant adjustments to the recorded value (Level 2). When adjustments are made to an appraised value to reflect various factors such as the age of the appraisal or known changes in the market or the collateral, such valuation inputs are considered unobservable (Level 3).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Appraisals for both collateral-dependent loans and OREO are performed by certified general appraisers (for commercial properties) or certified residential appraisers (for residential properties) whose qualifications and licenses have been reviewed and verified by the Company. Once received, a member of the Company’s asset quality or collections department reviews the assumptions and approaches utilized in the appraisal. </w:t>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and liabilities measured and recorded at fair value, including financial assets for which the Company has elected the fair value option, on a recurring and nonrecurring basis at March 31, 2026 and December 31, 2025, are summarized below:</w:t>
      </w:r>
    </w:p>
    <w:tbl>
      <w:tblPr>
        <w:tblW w:w="10205" w:type="dxa"/>
        <w:jc w:val="center"/>
        <w:tblInd w:w="0" w:type="dxa"/>
        <w:tblLayout w:type="fixed"/>
        <w:tblCellMar>
          <w:top w:w="28" w:type="dxa"/>
          <w:left w:w="28" w:type="dxa"/>
          <w:bottom w:w="28" w:type="dxa"/>
          <w:right w:w="28" w:type="dxa"/>
        </w:tblCellMar>
      </w:tblPr>
      <w:tblGrid>
        <w:gridCol w:w="1502"/>
        <w:gridCol w:w="1249"/>
        <w:gridCol w:w="1254"/>
        <w:gridCol w:w="196"/>
        <w:gridCol w:w="871"/>
        <w:gridCol w:w="109"/>
        <w:gridCol w:w="109"/>
        <w:gridCol w:w="109"/>
        <w:gridCol w:w="109"/>
        <w:gridCol w:w="242"/>
        <w:gridCol w:w="690"/>
        <w:gridCol w:w="134"/>
        <w:gridCol w:w="109"/>
        <w:gridCol w:w="109"/>
        <w:gridCol w:w="109"/>
        <w:gridCol w:w="196"/>
        <w:gridCol w:w="871"/>
        <w:gridCol w:w="109"/>
        <w:gridCol w:w="109"/>
        <w:gridCol w:w="109"/>
        <w:gridCol w:w="109"/>
        <w:gridCol w:w="352"/>
        <w:gridCol w:w="1165"/>
        <w:gridCol w:w="284"/>
      </w:tblGrid>
      <w:tr>
        <w:trPr/>
        <w:tc>
          <w:tcPr>
            <w:tcW w:w="150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w:t>
              <w:br/>
              <w:t>inputs</w:t>
              <w:br/>
              <w:t>(Level 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and liabilities measured at fair value on a recurring basis: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 for sale: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sponsored entities and U.S.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agency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student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municipal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loan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enhancement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13,476 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measured at fair value on a non-recurring basis: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Collateral dependent loans: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Residential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loans held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02"/>
        <w:gridCol w:w="1249"/>
        <w:gridCol w:w="1254"/>
        <w:gridCol w:w="196"/>
        <w:gridCol w:w="871"/>
        <w:gridCol w:w="109"/>
        <w:gridCol w:w="109"/>
        <w:gridCol w:w="109"/>
        <w:gridCol w:w="109"/>
        <w:gridCol w:w="242"/>
        <w:gridCol w:w="690"/>
        <w:gridCol w:w="134"/>
        <w:gridCol w:w="109"/>
        <w:gridCol w:w="109"/>
        <w:gridCol w:w="109"/>
        <w:gridCol w:w="196"/>
        <w:gridCol w:w="871"/>
        <w:gridCol w:w="109"/>
        <w:gridCol w:w="109"/>
        <w:gridCol w:w="109"/>
        <w:gridCol w:w="109"/>
        <w:gridCol w:w="352"/>
        <w:gridCol w:w="1165"/>
        <w:gridCol w:w="284"/>
      </w:tblGrid>
      <w:tr>
        <w:trPr/>
        <w:tc>
          <w:tcPr>
            <w:tcW w:w="150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w:t>
              <w:br/>
              <w:t>inputs</w:t>
              <w:br/>
              <w:t>(Level 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and liabilities measured at fair value on a recurring basis: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 for sale: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sponsored entities and U.S.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agency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student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municipal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loan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enhancement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12,557 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measured at fair value on a non-recurring basis: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Collateral dependent loans: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Residential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losses recognized on assets measured at fair value on a nonrecurring basis for the three months ended March 31, 2026 and 2025:</w:t>
      </w:r>
    </w:p>
    <w:tbl>
      <w:tblPr>
        <w:tblW w:w="7039" w:type="dxa"/>
        <w:jc w:val="center"/>
        <w:tblInd w:w="0" w:type="dxa"/>
        <w:tblLayout w:type="fixed"/>
        <w:tblCellMar>
          <w:top w:w="28" w:type="dxa"/>
          <w:left w:w="28" w:type="dxa"/>
          <w:bottom w:w="28" w:type="dxa"/>
          <w:right w:w="28" w:type="dxa"/>
        </w:tblCellMar>
      </w:tblPr>
      <w:tblGrid>
        <w:gridCol w:w="1427"/>
        <w:gridCol w:w="1257"/>
        <w:gridCol w:w="1261"/>
        <w:gridCol w:w="229"/>
        <w:gridCol w:w="651"/>
        <w:gridCol w:w="127"/>
        <w:gridCol w:w="127"/>
        <w:gridCol w:w="127"/>
        <w:gridCol w:w="127"/>
        <w:gridCol w:w="229"/>
        <w:gridCol w:w="651"/>
        <w:gridCol w:w="127"/>
        <w:gridCol w:w="109"/>
        <w:gridCol w:w="109"/>
        <w:gridCol w:w="109"/>
        <w:gridCol w:w="109"/>
        <w:gridCol w:w="109"/>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 dependent loans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losses on assets measured on a nonrecurring basis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quantitative information about significant unobservable inputs used in fair value measurements of Level 3 assets measured on a nonrecurring basis at March 31, 2026 and December 31, 2025:</w:t>
      </w:r>
    </w:p>
    <w:tbl>
      <w:tblPr>
        <w:tblW w:w="10205" w:type="dxa"/>
        <w:jc w:val="center"/>
        <w:tblInd w:w="0" w:type="dxa"/>
        <w:tblLayout w:type="fixed"/>
        <w:tblCellMar>
          <w:top w:w="28" w:type="dxa"/>
          <w:left w:w="28" w:type="dxa"/>
          <w:bottom w:w="28" w:type="dxa"/>
          <w:right w:w="28" w:type="dxa"/>
        </w:tblCellMar>
      </w:tblPr>
      <w:tblGrid>
        <w:gridCol w:w="587"/>
        <w:gridCol w:w="456"/>
        <w:gridCol w:w="457"/>
        <w:gridCol w:w="109"/>
        <w:gridCol w:w="109"/>
        <w:gridCol w:w="109"/>
        <w:gridCol w:w="196"/>
        <w:gridCol w:w="556"/>
        <w:gridCol w:w="109"/>
        <w:gridCol w:w="109"/>
        <w:gridCol w:w="109"/>
        <w:gridCol w:w="109"/>
        <w:gridCol w:w="390"/>
        <w:gridCol w:w="390"/>
        <w:gridCol w:w="392"/>
        <w:gridCol w:w="109"/>
        <w:gridCol w:w="109"/>
        <w:gridCol w:w="109"/>
        <w:gridCol w:w="1013"/>
        <w:gridCol w:w="1013"/>
        <w:gridCol w:w="1017"/>
        <w:gridCol w:w="109"/>
        <w:gridCol w:w="109"/>
        <w:gridCol w:w="109"/>
        <w:gridCol w:w="623"/>
        <w:gridCol w:w="605"/>
        <w:gridCol w:w="607"/>
        <w:gridCol w:w="109"/>
        <w:gridCol w:w="109"/>
        <w:gridCol w:w="109"/>
        <w:gridCol w:w="159"/>
      </w:tblGrid>
      <w:tr>
        <w:trPr/>
        <w:tc>
          <w:tcPr>
            <w:tcW w:w="58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w:t>
              <w:br/>
              <w:t>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w:t>
              <w:br/>
              <w:t>input / assumptions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Discount Rate Range (weighted average)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Collateral dependent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 of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 for type of property, age of appraisal, and/or current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0.00%- 100.00% (7.55%)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 of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 for type of property, age of appraisal, and/or current status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- 100.00% (3.48%)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 of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 for type of property, age of appraisal, and/or current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0.00%- 0.00% (0.00%)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 of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 for type of property, age of appraisal, and/or current status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7.54% - 70.67% (45.63%)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 approach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None - Fair value equals contracted sales price; no significant unobservable inputs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Collateral dependent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 of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 for type of property, age of appraisal, and/or current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- 0.00% (0.00%)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 of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 for type of property, age of appraisal, and/or current status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- 100.00% (4.79%)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 of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 for type of property, age of appraisal, and/or current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- 0.00% (0.00%)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 of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 for type of property, age of appraisal, and/or current status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54.10% - 70.67% (58.17%.)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(1)Unobservable inputs were weighted by the relative fair value of the instruments.</w:t>
      </w:r>
    </w:p>
    <w:p>
      <w:pPr>
        <w:pStyle w:val="TextBody"/>
        <w:bidi w:val="0"/>
        <w:spacing w:before="140" w:after="6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ASC Topic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requires disclosure of the estimated fair value of certain financial instruments and the methods and significant assumptions used to estimate such fair values. Additionally, certain financial instruments and all nonfinancial instruments are excluded from the applicable disclosure requirements.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elected the fair value option for newly originated residential loans held for sale. These loans are intended for sale and are hedged with derivative instruments. We have elected the fair value option to mitigate accounting mismatches in cases where hedge accounting is complex and to achieve operational simplification.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difference between the aggregate fair value and the aggregate remaining principal balance for loans for which the fair value option has been elected as of March 31, 2026 and December 31, 2025:</w:t>
      </w:r>
    </w:p>
    <w:tbl>
      <w:tblPr>
        <w:tblW w:w="9290" w:type="dxa"/>
        <w:jc w:val="center"/>
        <w:tblInd w:w="0" w:type="dxa"/>
        <w:tblLayout w:type="fixed"/>
        <w:tblCellMar>
          <w:top w:w="28" w:type="dxa"/>
          <w:left w:w="28" w:type="dxa"/>
          <w:bottom w:w="28" w:type="dxa"/>
          <w:right w:w="28" w:type="dxa"/>
        </w:tblCellMar>
      </w:tblPr>
      <w:tblGrid>
        <w:gridCol w:w="786"/>
        <w:gridCol w:w="693"/>
        <w:gridCol w:w="695"/>
        <w:gridCol w:w="198"/>
        <w:gridCol w:w="562"/>
        <w:gridCol w:w="111"/>
        <w:gridCol w:w="109"/>
        <w:gridCol w:w="109"/>
        <w:gridCol w:w="109"/>
        <w:gridCol w:w="231"/>
        <w:gridCol w:w="496"/>
        <w:gridCol w:w="129"/>
        <w:gridCol w:w="109"/>
        <w:gridCol w:w="109"/>
        <w:gridCol w:w="109"/>
        <w:gridCol w:w="225"/>
        <w:gridCol w:w="639"/>
        <w:gridCol w:w="127"/>
        <w:gridCol w:w="109"/>
        <w:gridCol w:w="109"/>
        <w:gridCol w:w="109"/>
        <w:gridCol w:w="198"/>
        <w:gridCol w:w="562"/>
        <w:gridCol w:w="111"/>
        <w:gridCol w:w="109"/>
        <w:gridCol w:w="109"/>
        <w:gridCol w:w="109"/>
        <w:gridCol w:w="231"/>
        <w:gridCol w:w="496"/>
        <w:gridCol w:w="129"/>
        <w:gridCol w:w="109"/>
        <w:gridCol w:w="109"/>
        <w:gridCol w:w="109"/>
        <w:gridCol w:w="224"/>
        <w:gridCol w:w="635"/>
        <w:gridCol w:w="177"/>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Difference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Contractual</w:t>
              <w:b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Difference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Contractual</w:t>
              <w:br/>
              <w:t>principal</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loans held for sale</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 of gains (losses) from fair value changes included in income before income taxes for financial assets carried at fair value for the three months ended March 31, 2026 and 2025:</w:t>
      </w:r>
    </w:p>
    <w:tbl>
      <w:tblPr>
        <w:tblW w:w="5270" w:type="dxa"/>
        <w:jc w:val="left"/>
        <w:tblInd w:w="0" w:type="dxa"/>
        <w:tblLayout w:type="fixed"/>
        <w:tblCellMar>
          <w:top w:w="28" w:type="dxa"/>
          <w:left w:w="28" w:type="dxa"/>
          <w:bottom w:w="28" w:type="dxa"/>
          <w:right w:w="28" w:type="dxa"/>
        </w:tblCellMar>
      </w:tblPr>
      <w:tblGrid>
        <w:gridCol w:w="786"/>
        <w:gridCol w:w="693"/>
        <w:gridCol w:w="695"/>
        <w:gridCol w:w="266"/>
        <w:gridCol w:w="675"/>
        <w:gridCol w:w="148"/>
        <w:gridCol w:w="148"/>
        <w:gridCol w:w="148"/>
        <w:gridCol w:w="148"/>
        <w:gridCol w:w="266"/>
        <w:gridCol w:w="450"/>
        <w:gridCol w:w="148"/>
        <w:gridCol w:w="109"/>
        <w:gridCol w:w="109"/>
        <w:gridCol w:w="109"/>
        <w:gridCol w:w="109"/>
        <w:gridCol w:w="109"/>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loans held for sale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values and estimated fair value of certain financial instruments not carried at fair value at March 31, 2026 and December 31, 2025 were as follows:</w:t>
      </w:r>
    </w:p>
    <w:tbl>
      <w:tblPr>
        <w:tblW w:w="9142" w:type="dxa"/>
        <w:jc w:val="center"/>
        <w:tblInd w:w="0" w:type="dxa"/>
        <w:tblLayout w:type="fixed"/>
        <w:tblCellMar>
          <w:top w:w="28" w:type="dxa"/>
          <w:left w:w="28" w:type="dxa"/>
          <w:bottom w:w="28" w:type="dxa"/>
          <w:right w:w="28" w:type="dxa"/>
        </w:tblCellMar>
      </w:tblPr>
      <w:tblGrid>
        <w:gridCol w:w="753"/>
        <w:gridCol w:w="665"/>
        <w:gridCol w:w="667"/>
        <w:gridCol w:w="196"/>
        <w:gridCol w:w="871"/>
        <w:gridCol w:w="109"/>
        <w:gridCol w:w="109"/>
        <w:gridCol w:w="109"/>
        <w:gridCol w:w="109"/>
        <w:gridCol w:w="196"/>
        <w:gridCol w:w="871"/>
        <w:gridCol w:w="109"/>
        <w:gridCol w:w="109"/>
        <w:gridCol w:w="109"/>
        <w:gridCol w:w="109"/>
        <w:gridCol w:w="209"/>
        <w:gridCol w:w="785"/>
        <w:gridCol w:w="116"/>
        <w:gridCol w:w="109"/>
        <w:gridCol w:w="109"/>
        <w:gridCol w:w="109"/>
        <w:gridCol w:w="196"/>
        <w:gridCol w:w="871"/>
        <w:gridCol w:w="109"/>
        <w:gridCol w:w="109"/>
        <w:gridCol w:w="109"/>
        <w:gridCol w:w="109"/>
        <w:gridCol w:w="288"/>
        <w:gridCol w:w="596"/>
        <w:gridCol w:w="227"/>
      </w:tblGrid>
      <w:tr>
        <w:trPr/>
        <w:tc>
          <w:tcPr>
            <w:tcW w:w="75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 funds sold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Loans,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4,163,576 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and other 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preferred debentures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tbl>
      <w:tblPr>
        <w:tblW w:w="9142" w:type="dxa"/>
        <w:jc w:val="center"/>
        <w:tblInd w:w="0" w:type="dxa"/>
        <w:tblLayout w:type="fixed"/>
        <w:tblCellMar>
          <w:top w:w="28" w:type="dxa"/>
          <w:left w:w="28" w:type="dxa"/>
          <w:bottom w:w="28" w:type="dxa"/>
          <w:right w:w="28" w:type="dxa"/>
        </w:tblCellMar>
      </w:tblPr>
      <w:tblGrid>
        <w:gridCol w:w="753"/>
        <w:gridCol w:w="665"/>
        <w:gridCol w:w="667"/>
        <w:gridCol w:w="196"/>
        <w:gridCol w:w="871"/>
        <w:gridCol w:w="109"/>
        <w:gridCol w:w="109"/>
        <w:gridCol w:w="109"/>
        <w:gridCol w:w="109"/>
        <w:gridCol w:w="196"/>
        <w:gridCol w:w="871"/>
        <w:gridCol w:w="109"/>
        <w:gridCol w:w="109"/>
        <w:gridCol w:w="109"/>
        <w:gridCol w:w="109"/>
        <w:gridCol w:w="209"/>
        <w:gridCol w:w="785"/>
        <w:gridCol w:w="116"/>
        <w:gridCol w:w="109"/>
        <w:gridCol w:w="109"/>
        <w:gridCol w:w="109"/>
        <w:gridCol w:w="196"/>
        <w:gridCol w:w="871"/>
        <w:gridCol w:w="109"/>
        <w:gridCol w:w="109"/>
        <w:gridCol w:w="109"/>
        <w:gridCol w:w="109"/>
        <w:gridCol w:w="288"/>
        <w:gridCol w:w="596"/>
        <w:gridCol w:w="227"/>
      </w:tblGrid>
      <w:tr>
        <w:trPr/>
        <w:tc>
          <w:tcPr>
            <w:tcW w:w="75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 funds sold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Loans,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4,229,483 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and other 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preferred debentures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methods utilized to measure fair value of financial instruments at March 31, 2026 and December 31, 2025 represent an approximation of exit price; however, an actual exit price may differ.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14 – COMMITMENTS, CONTINGENCIES AND CREDIT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there are outstanding various contingent liabilities such as claims and legal actions, which are not reflected in the consolidated financial statements. No material losses are anticipated as a result of these actions or claims.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party to financial instruments with off-balance-sheet risk in the normal course of business to meet the financing needs of our customers. These financial instruments include commitments to extend credit and standby letters of credit. Those instruments involve, to varying degrees, elements of credit risk in excess of the amount recognized in the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sheet. The contract amounts of those instruments reflect the extent of involvement we have in particular classes of financial instruments.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exposure to credit loss in the event of nonperformance by the other party to the financial instrument for commitments to extend credit and standby letters of credit is represented by the contractual amount of those instruments. The Company used the same credit policies in making commitments and conditional obligations as it does for on-balance sheet instruments. The commitments are principally tied to variable rates. Loan commitments as of March 31, 2026 and December 31, 2025 were as follows:</w:t>
      </w:r>
    </w:p>
    <w:tbl>
      <w:tblPr>
        <w:tblW w:w="6461" w:type="dxa"/>
        <w:jc w:val="center"/>
        <w:tblInd w:w="0" w:type="dxa"/>
        <w:tblLayout w:type="fixed"/>
        <w:tblCellMar>
          <w:top w:w="28" w:type="dxa"/>
          <w:left w:w="28" w:type="dxa"/>
          <w:bottom w:w="28" w:type="dxa"/>
          <w:right w:w="28" w:type="dxa"/>
        </w:tblCellMar>
      </w:tblPr>
      <w:tblGrid>
        <w:gridCol w:w="1204"/>
        <w:gridCol w:w="1060"/>
        <w:gridCol w:w="1065"/>
        <w:gridCol w:w="237"/>
        <w:gridCol w:w="891"/>
        <w:gridCol w:w="132"/>
        <w:gridCol w:w="109"/>
        <w:gridCol w:w="109"/>
        <w:gridCol w:w="109"/>
        <w:gridCol w:w="279"/>
        <w:gridCol w:w="1047"/>
        <w:gridCol w:w="219"/>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to extend credit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776,964 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821,801 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guarantees – standby letters of credit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15 – SEGMENT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determined by the Chief Executive Officer, who is the designated chief operating decision maker, based upon information provided about the Company's products and services offered, primarily distinguished between Banking, Wealth Management and Corporate. They are also distinguished by the level of information provided to the chief operating decision maker, who uses such information to review performance of various components of the business, which are then aggregated if operating performance, products and services, and customers are similar. The chief operating decision maker analyzes the financial performance of the Company's segments, allocates resources and assesses compensation of certain employees by evaluating revenue streams, significant expenses and budget to actual results. The performance of the Banking segment is assessed by monitoring the margin between interest income and interest expense related to loans, investments, deposits and other borrowings. Pre-tax profit and loss is used to assess the performance of the Wealth Management segment. Interest expense, provisions for credit losses and payroll provide the significant expenses in the Banking segment, while payroll provides the significant expenses in the Wealth Management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Banking segment provides a wide range of financial products and services to consumers and businesses, including commercial, commercial real estate, mortgage and other consumer loan products; mortgage loan sales and servicing; letters of credit; various types of deposit products, including checking, savings and time deposit accounts; merchant services; and corporate treasury management services.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Wealth Management segment consists of trust and fiduciary services, brokerage and retirement planning services.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Corporate segment includes the holding company financing and investment activities, administrative expenses, as well as the elimination of intercompany transactions.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Reported segments and the financial information of the reported segments are not necessarily comparable with similar information reported by other financial institutions. Additionally, because of the interrelationships of the various segments, the information presented is not indicative of how the segments would perform if they operated as independent entities. Changes in management structure or allocation methodologies and procedures may result in future changes to previously reported segment financial data. The accounting policies of the segments are substantially the same as those described in the “Summary of Significant Accounting Policies” in Note 1 of the Company’s 2025 Annual Report on Form 10-K.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between segments consist primarily of borrowed funds and servicing fees. Noninterest income and expense directly attributable to a segment are assigned to it with various shared service costs such as human resources, accounting, finance, risk management and information technology expense assigned to the Banking segment. </w:t>
      </w:r>
    </w:p>
    <w:p>
      <w:pPr>
        <w:pStyle w:val="TextBody"/>
        <w:bidi w:val="0"/>
        <w:spacing w:before="0" w:after="0"/>
        <w:jc w:val="left"/>
        <w:rPr/>
      </w:pPr>
      <w:r>
        <w:rPr/>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Selected business segment financial information for the three months ended March 31, 2026 and 2025 were as follows:</w:t>
      </w:r>
    </w:p>
    <w:tbl>
      <w:tblPr>
        <w:tblW w:w="8274" w:type="dxa"/>
        <w:jc w:val="center"/>
        <w:tblInd w:w="0" w:type="dxa"/>
        <w:tblLayout w:type="fixed"/>
        <w:tblCellMar>
          <w:top w:w="28" w:type="dxa"/>
          <w:left w:w="28" w:type="dxa"/>
          <w:bottom w:w="28" w:type="dxa"/>
          <w:right w:w="28" w:type="dxa"/>
        </w:tblCellMar>
      </w:tblPr>
      <w:tblGrid>
        <w:gridCol w:w="1019"/>
        <w:gridCol w:w="898"/>
        <w:gridCol w:w="902"/>
        <w:gridCol w:w="196"/>
        <w:gridCol w:w="871"/>
        <w:gridCol w:w="109"/>
        <w:gridCol w:w="109"/>
        <w:gridCol w:w="109"/>
        <w:gridCol w:w="109"/>
        <w:gridCol w:w="216"/>
        <w:gridCol w:w="713"/>
        <w:gridCol w:w="122"/>
        <w:gridCol w:w="109"/>
        <w:gridCol w:w="109"/>
        <w:gridCol w:w="109"/>
        <w:gridCol w:w="196"/>
        <w:gridCol w:w="721"/>
        <w:gridCol w:w="109"/>
        <w:gridCol w:w="109"/>
        <w:gridCol w:w="109"/>
        <w:gridCol w:w="109"/>
        <w:gridCol w:w="196"/>
        <w:gridCol w:w="871"/>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(expense)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Wealth management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6,561,452 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37,760 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(51,249)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6,547,963 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(expense)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Wealth management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7,290,894 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33,541 </w:t>
            </w:r>
          </w:p>
        </w:tc>
        <w:tc>
          <w:tcPr>
            <w:tcW w:w="1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(39,631)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7,284,804 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Other noninterest expense for Banking includes occupancy and equipment, data processing, FDIC insurance, professional services, marketing, communications, loan expense and other miscellaneous expenses. Other noninterest expense for Wealth Management includes occupancy and equipment, data processing, professional services, marketing, communications and other miscellaneous expenses. Other noninterest expense for Corporate includes data processing, professional services, marketing and other miscellaneous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16 – REVENUE FROM CONTRACTS WITH CUSTOMERS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revenue from contracts with customers in the scope of Topic 606 is recognized within noninterest income in the consolidated statements of income. The following presents noninterest income, segregated by revenue streams in-scope and out-of-scope of Topic 606, for the three months ended March 31, 2026 and 2025:</w:t>
      </w:r>
    </w:p>
    <w:tbl>
      <w:tblPr>
        <w:tblW w:w="6621" w:type="dxa"/>
        <w:jc w:val="left"/>
        <w:tblInd w:w="0" w:type="dxa"/>
        <w:tblLayout w:type="fixed"/>
        <w:tblCellMar>
          <w:top w:w="28" w:type="dxa"/>
          <w:left w:w="28" w:type="dxa"/>
          <w:bottom w:w="28" w:type="dxa"/>
          <w:right w:w="28" w:type="dxa"/>
        </w:tblCellMar>
      </w:tblPr>
      <w:tblGrid>
        <w:gridCol w:w="1274"/>
        <w:gridCol w:w="1124"/>
        <w:gridCol w:w="1127"/>
        <w:gridCol w:w="211"/>
        <w:gridCol w:w="695"/>
        <w:gridCol w:w="117"/>
        <w:gridCol w:w="117"/>
        <w:gridCol w:w="117"/>
        <w:gridCol w:w="117"/>
        <w:gridCol w:w="211"/>
        <w:gridCol w:w="695"/>
        <w:gridCol w:w="117"/>
        <w:gridCol w:w="109"/>
        <w:gridCol w:w="109"/>
        <w:gridCol w:w="109"/>
        <w:gridCol w:w="109"/>
        <w:gridCol w:w="109"/>
        <w:gridCol w:w="154"/>
      </w:tblGrid>
      <w:tr>
        <w:trPr/>
        <w:tc>
          <w:tcPr>
            <w:tcW w:w="127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income - in-scope of Topic 606</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Wealth management revenue:</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management/administration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advisory and brokerage fees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Service charges on deposit accounts: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Nonsufficient fund fees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Interchange revenues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Other income:</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Merchant services revenue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income - out-of-scope of Topic 606</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Topic 606 does not apply to revenue associated with financial instruments, including revenue from loans and investment securities. In addition, certain noninterest income streams such as commercial FHA revenue, residential mortgage banking revenue, credit enhancement income, and gain on sales of investment securities, net, are also not in scope of Topic 606. Topic 606 is applicable to noninterest income streams such as wealth management revenue, service charges on deposit accounts, interchange revenue, gain on sales of other real estate owned and certain other noninterest income streams. The noninterest income streams considered in-scope by Topic 606 are discussed below.</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Wealth Management Revenue</w:t>
      </w: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Wealth management revenue is primarily comprised of fees earned from the management and administration of trusts and other customer assets. The Company also earns investment advisory fees through its SEC registered investment advisory subsidiary. The Company’s performance obligation in both of these instances is generally satisfied over time and the resulting fees are recognized monthly, based upon the month-end market value of the assets under management and contractually determined fee schedules. Payment is generally received a few days after month end through a direct charge to each customer’s account.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 Fees generated from transactions executed by the Company’s third party broker dealer are remitted to the Company on a monthly basis for that month’s transactional activity.</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Service Charges on Deposit Accounts</w:t>
      </w: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 consist of fees received under depository agreements with customers to provide access to deposited funds, serve as custodian of deposited funds, and when applicable, pay interest on deposits. These service charges primarily include non-sufficient fund fees and other account related service charges. Non-sufficient fund fees are earned when a depositor presents an item for payment in excess of available funds, and the Company, at its discretion, provides the necessary funds to complete the transaction. The Company generates other account related service charge revenue by providing depositors proper safeguard and remittance of funds as well as by delivering optional services for depositors, such as check imaging or treasury management, that are performed upon the depositor’s request. The Company’s performance obligation for the proper safeguard and remittance of funds, monthly account analysis and any other monthly service fees is generally satisfied, and the related revenue recognized, over the period in which the service is provided. Payment for service charges on deposit accounts is typically received immediately or in the following month through a direct charge to a customer’s account.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Interchange Revenue</w:t>
      </w: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Interchange revenue includes debit / credit card income and ATM user fees. Card income is primarily comprised of interchange fees earned for standing ready to authorize and providing settlement on card transactions processed through the MasterCard interchange network. The levels and structure of interchange rates are set by MasterCard and can vary based on cardholder purchase volumes. Interchange fees from cardholder transactions represent a percentage of the underlying transaction value and are recognized daily, concurrently with completion of the Company’s performance obligation, the transaction processing services provided to the cardholder. Payment is typically received immediately or in the following month. ATM fees are primarily generated when a Company cardholder withdraws funds from a non-Company ATM or a non-Company cardholder withdraws funds from a Company ATM. The Company satisfies its performance obligation for each transaction at the point in time when the ATM withdrawal is processed.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Noninterest Income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other noninterest income revenue streams within the scope of Topic 606 consist of merchant services revenue, safe deposit box rentals, wire transfer fees, paper statement fees, check printing commissions, gain on sales of other real estate owned and other noninterest related fees. Revenue from the Company’s merchant services business consists principally of transaction and account management fees charged to merchants for the electronic processing of transactions. These fees are net of interchange fees paid to the credit card issuing bank, card company assessments, and revenue sharing amounts. Account management fees are considered earned at the time the merchant’s transactions are processed or other services are performed. Fees related to the other components of other noninterest income within the scope of Topic 606 are largely transactional based, and therefore, the Company’s performance obligation is satisfied and related revenue recognized, at the point in time the customer uses the selected service to execute a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pPr>
      <w:r>
        <w:rPr>
          <w:rFonts w:ascii="Times New Roman;serif" w:hAnsi="Times New Roman;serif"/>
          <w:b/>
          <w:color w:val="000000"/>
          <w:sz w:val="20"/>
        </w:rPr>
        <w:t>ITEM 2 –</w:t>
      </w:r>
      <w:r>
        <w:rPr>
          <w:color w:val="000000"/>
        </w:rPr>
        <w:t xml:space="preserve"> </w:t>
      </w: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Management's discussion and analysis of certain significant factors which have affected the financial condition and results of operations of the Company as reflected in the unaudited consolidated balance sheet as of March 31, 2026, as compared to December 31, 2025, and unaudited consolidated operating results for the three months ended March 31, 2026 and 2025. This disclosure should be read in conjunction with the Company's unaudited consolidated financial statements and accompanying notes appearing elsewhere herein and the audited financial statements and accompanying notes provided in our Annual Report on Form 10-K for the year ended December 31, 2025, filed with the SEC on March 2, 2026.</w:t>
      </w:r>
    </w:p>
    <w:p>
      <w:pPr>
        <w:pStyle w:val="TextBody"/>
        <w:bidi w:val="0"/>
        <w:spacing w:lineRule="auto" w:line="288" w:before="0" w:after="240"/>
        <w:ind w:left="0" w:right="0" w:firstLine="720"/>
        <w:jc w:val="left"/>
        <w:rPr/>
      </w:pPr>
      <w:r>
        <w:rPr>
          <w:rFonts w:ascii="Times New Roman;serif" w:hAnsi="Times New Roman;serif"/>
          <w:b w:val="false"/>
          <w:color w:val="000000"/>
          <w:sz w:val="20"/>
        </w:rPr>
        <w:t>In addition to the historical information contained herein, this Quarterly Report on Form 10-Q includes “forward-looking statements” within the meaning of such term under the Private Securities Litigation Reform Act of 1995. These statements are subject to many risks and uncertainties, including interest rates and other general economic, business and political conditions; the impact of federal trade policy, inflation, deposit volatility and potential regulatory developments; the performance of our loan portfolio and our ability to manage credit risk; changes in the financial markets; the effects of armed conflict, including the scope and duration of disruptions in global energy markets relating to war in Iran; changes in the business environment resulting from the adoption of artificial intelligence, including fraud and cybersecurity risk; operational risks, including with respect to fraud and information technology;</w:t>
      </w:r>
      <w:r>
        <w:rPr>
          <w:color w:val="000000"/>
        </w:rPr>
        <w:t xml:space="preserve"> </w:t>
      </w:r>
      <w:r>
        <w:rPr>
          <w:rFonts w:ascii="Times New Roman;serif" w:hAnsi="Times New Roman;serif"/>
          <w:b w:val="false"/>
          <w:color w:val="000000"/>
          <w:sz w:val="20"/>
        </w:rPr>
        <w:t>changes in business plans as circumstances warrant; risks related to legal proceedings; risks related to mergers and acquisitions and the integration of acquired businesses; changes to U.S. and state tax laws, regulations and guidance; and other risks detailed from time to time in filings made by the Company with the SEC. Readers should note that the forward-looking statements included herein are not a guarantee of future events, and that actual events may differ materially from those made in or suggested by the forward-looking statements. Forward-looking statements generally can be identified by the use of forward-looking terminology such as “will,” “propose,” “may,” “plan,” “seek,” “expect,” “intend,” “estimate,” “anticipate,” “believe,” or “continue,” or similar terminology. Any forward-looking statements presented herein are made only as of the date of this document, and we do not undertake any obligation to update or revise any forward-looking statements to reflect changes in assumptions, the occurrence of unanticipated events, or otherwise</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requires Management to make estimates and judgments that affect the reported amounts of assets, liabilities, revenues and expenses. These estimates are based upon historical experience and on various other assumptions that management believes are reasonable under current circumstances. These estimates form the basis for making judgments about the carrying value of certain assets and liabilities that are not readily available from other sources. Actual results may differ from these estimates under different assumptions or conditions. The estimates and judgments that management believes have the greatest effect on the Company’s reported financial position and results of operations are set forth in “Note 1 – Summary of Significant Accounting Policies” of the Notes to Consolidated Financial Statements, included in our Annual Report on Form 10-K for the year ended December 31, 2025.</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critical accounting estimates, see the section titled “Critical Accounting Estimates” included in Item 7 of our Annual Report on Form 10-K for the year ended December 31, 2025. There have been no material changes in the Company’s application of critical accounting estimates since December 31, 2025.</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Allowance for Credit Losses on Loans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Management’s evaluation process used to determine the appropriateness of the allowance for credit losses on loans is subject to the use of estimates, assumptions, and judgments. The evaluation process combines many factors: Management’s ongoing review and grading of the loan portfolio leveraging probability of default and loss given default, consideration of historical loan loss and delinquency experience, trends in past due and nonaccrual loans, risk characteristics of the various classifications of loans, concentrations of loans to specific borrowers or industries, existing economic conditions and forecasts, the fair value of underlying collateral, and other qualitative and quantitative factors which could affect future credit losses. Because current economic conditions and forecasts can change and future events are inherently difficult to predict, the anticipated amount of estimated credit losses on loans, and therefore the appropriateness of the allowance for credit losses on loans, could change significantly. It is difficult to estimate how potential changes in any one economic factor or input might affect the overall allowance because a wide variety of factors and inputs are considered in estimating the allowance and changes in those factors and inputs considered may not occur at the same rate and may not be consistent across all product types. Additionally, changes in factors and inputs may be directionally inconsistent, such that improvement in one factor may offset deterioration in others. As an integral part of their examination process, various regulatory agencies also review the allowance for credit losses on loans. Such agencies may require additions to the allowance for credit losses on loans or may require that certain loan balances be charged-off or downgraded into criticized loan categories when their credit evaluations differ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those of management, based on their judgments about information available to them at the time of their examination. The Company believes the level of the allowance for credit losses on loans is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Factors Affecting Comparability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factor listed below affects the comparability of our results of operations for the three months ended March 31, 2026 and 2025, and our financial condition as of March 31, 2026 and December 31, 2025, and may affect the comparability of financial information we report in future fiscal periods.</w:t>
      </w:r>
    </w:p>
    <w:p>
      <w:pPr>
        <w:pStyle w:val="TextBody"/>
        <w:bidi w:val="0"/>
        <w:spacing w:lineRule="auto" w:line="288" w:before="240" w:after="240"/>
        <w:ind w:left="0" w:right="0" w:firstLine="720"/>
        <w:jc w:val="left"/>
        <w:rPr/>
      </w:pPr>
      <w:r>
        <w:rPr>
          <w:rFonts w:ascii="Times New Roman;serif" w:hAnsi="Times New Roman;serif"/>
          <w:b/>
          <w:i/>
          <w:color w:val="000000"/>
          <w:sz w:val="20"/>
        </w:rPr>
        <w:t xml:space="preserve">Sale of equipment finance portfolio. </w:t>
      </w:r>
      <w:r>
        <w:rPr>
          <w:rFonts w:ascii="Times New Roman;serif" w:hAnsi="Times New Roman;serif"/>
          <w:b w:val="false"/>
          <w:color w:val="000000"/>
          <w:sz w:val="20"/>
        </w:rPr>
        <w:t xml:space="preserve">During the fourth quarter of 2025, we sold substantially all of our equipment finance portfolio resulting in a loss on sale of $21.4 million. As previously disclosed, we ceased originating new equipment finance loans and leases effective as of September 30, 2025. </w:t>
      </w:r>
    </w:p>
    <w:p>
      <w:pPr>
        <w:pStyle w:val="TextBody"/>
        <w:bidi w:val="0"/>
        <w:spacing w:lineRule="auto" w:line="288" w:before="240" w:after="240"/>
        <w:ind w:left="0" w:right="0" w:firstLine="720"/>
        <w:jc w:val="left"/>
        <w:rPr/>
      </w:pPr>
      <w:r>
        <w:rPr>
          <w:rFonts w:ascii="Times New Roman;serif" w:hAnsi="Times New Roman;serif"/>
          <w:b/>
          <w:i/>
          <w:color w:val="000000"/>
          <w:sz w:val="20"/>
        </w:rPr>
        <w:t>Redemption of Subordinated Notes.</w:t>
      </w:r>
      <w:r>
        <w:rPr>
          <w:color w:val="212529"/>
        </w:rPr>
        <w:t xml:space="preserve"> </w:t>
      </w:r>
      <w:r>
        <w:rPr>
          <w:rFonts w:ascii="Times New Roman;serif" w:hAnsi="Times New Roman;serif"/>
          <w:b w:val="false"/>
          <w:color w:val="000000"/>
          <w:sz w:val="20"/>
        </w:rPr>
        <w:t xml:space="preserve">On September 30, 2025, we redeemed all of our outstanding Fixed-to-Floating Rate Subordinated Notes due September 30, 2029, with an interest rate of 7.91%, which had an aggregate principal amount of $50.8 million. The aggregate redemption price was 100% of the aggregate principal amount of the subordinated notes, plus accrued and unpaid interest. </w:t>
      </w:r>
    </w:p>
    <w:p>
      <w:pPr>
        <w:pStyle w:val="TextBody"/>
        <w:bidi w:val="0"/>
        <w:spacing w:lineRule="auto" w:line="288" w:before="0" w:after="240"/>
        <w:ind w:left="0" w:right="0" w:firstLine="720"/>
        <w:jc w:val="left"/>
        <w:rPr/>
      </w:pPr>
      <w:r>
        <w:rPr>
          <w:rFonts w:ascii="Times New Roman;serif" w:hAnsi="Times New Roman;serif"/>
          <w:b/>
          <w:i/>
          <w:color w:val="000000"/>
          <w:sz w:val="20"/>
        </w:rPr>
        <w:t>Goodwill impairment.</w:t>
      </w:r>
      <w:r>
        <w:rPr>
          <w:color w:val="000000"/>
        </w:rPr>
        <w:t xml:space="preserve"> </w:t>
      </w:r>
      <w:r>
        <w:rPr>
          <w:rFonts w:ascii="Times New Roman;serif" w:hAnsi="Times New Roman;serif"/>
          <w:b w:val="false"/>
          <w:color w:val="000000"/>
          <w:sz w:val="20"/>
        </w:rPr>
        <w:t>During the first quarter of 2025, we determined that a triggering event had occurred at our Banking reporting unit as a result of further deteriorated credit quality coupled with trends in our stock price. We performed a quantitative impairment test on our Banking reporting unit as of March 31, 2025 and engaged a third-party service provider to assist Management with the determination of the fair value. The resulting calculation indicated that the carrying amount exceeded the fair value of our Banking reporting unit. As a result of the assessment, we recognized $154.0 million of goodwill impairment expense. The impairment expense did not impact our regulatory capital ratios, tangible common equity ratio or our liquidity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40" w:after="240"/>
        <w:ind w:left="0" w:right="0" w:firstLine="720"/>
        <w:jc w:val="left"/>
        <w:rPr/>
      </w:pPr>
      <w:r>
        <w:rPr>
          <w:rFonts w:ascii="Times New Roman;serif" w:hAnsi="Times New Roman;serif"/>
          <w:b/>
          <w:i/>
          <w:color w:val="212529"/>
          <w:sz w:val="20"/>
        </w:rPr>
        <w:t xml:space="preserve">Overview. </w:t>
      </w:r>
      <w:r>
        <w:rPr>
          <w:rFonts w:ascii="Times New Roman;serif" w:hAnsi="Times New Roman;serif"/>
          <w:b w:val="false"/>
          <w:color w:val="000000"/>
          <w:sz w:val="20"/>
        </w:rPr>
        <w:t>The following table sets forth condensed income statement information of the Company for the three months ended March 31, 2026 and 2025:</w:t>
      </w:r>
    </w:p>
    <w:tbl>
      <w:tblPr>
        <w:tblW w:w="7106" w:type="dxa"/>
        <w:jc w:val="left"/>
        <w:tblInd w:w="0" w:type="dxa"/>
        <w:tblLayout w:type="fixed"/>
        <w:tblCellMar>
          <w:top w:w="28" w:type="dxa"/>
          <w:left w:w="28" w:type="dxa"/>
          <w:bottom w:w="28" w:type="dxa"/>
          <w:right w:w="28" w:type="dxa"/>
        </w:tblCellMar>
      </w:tblPr>
      <w:tblGrid>
        <w:gridCol w:w="1358"/>
        <w:gridCol w:w="1194"/>
        <w:gridCol w:w="1197"/>
        <w:gridCol w:w="196"/>
        <w:gridCol w:w="646"/>
        <w:gridCol w:w="241"/>
        <w:gridCol w:w="109"/>
        <w:gridCol w:w="109"/>
        <w:gridCol w:w="109"/>
        <w:gridCol w:w="196"/>
        <w:gridCol w:w="811"/>
        <w:gridCol w:w="241"/>
        <w:gridCol w:w="109"/>
        <w:gridCol w:w="109"/>
        <w:gridCol w:w="109"/>
        <w:gridCol w:w="109"/>
        <w:gridCol w:w="109"/>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 except per share data)</w:t>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Statement Data:</w:t>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(137,802)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(140,974)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available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(143,202)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 Share Data:</w:t>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(loss)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Performance Metrics: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shareholders'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720"/>
        <w:jc w:val="left"/>
        <w:rPr/>
      </w:pPr>
      <w:r>
        <w:rPr>
          <w:rFonts w:ascii="Times New Roman;serif" w:hAnsi="Times New Roman;serif"/>
          <w:b w:val="false"/>
          <w:color w:val="212529"/>
          <w:sz w:val="20"/>
        </w:rPr>
        <w:t xml:space="preserve">During the three months ended March 31, 2026, we generated net income of $18.5 million, or diluted earnings per common share of $0.74, compared to a net loss of $141.0 million, or diluted loss per common share of $6.58, in the three months ended March 31, 2025. Earnings for the </w:t>
      </w:r>
      <w:r>
        <w:rPr>
          <w:rFonts w:ascii="Times New Roman;serif" w:hAnsi="Times New Roman;serif"/>
          <w:b w:val="false"/>
          <w:color w:val="000000"/>
          <w:sz w:val="20"/>
        </w:rPr>
        <w:t>first</w:t>
      </w:r>
      <w:r>
        <w:rPr>
          <w:color w:val="212529"/>
        </w:rPr>
        <w:t xml:space="preserve"> </w:t>
      </w:r>
      <w:r>
        <w:rPr>
          <w:rFonts w:ascii="Times New Roman;serif" w:hAnsi="Times New Roman;serif"/>
          <w:b w:val="false"/>
          <w:color w:val="212529"/>
          <w:sz w:val="20"/>
        </w:rPr>
        <w:t xml:space="preserve">quarter of </w:t>
      </w:r>
      <w:r>
        <w:rPr>
          <w:rFonts w:ascii="Times New Roman;serif" w:hAnsi="Times New Roman;serif"/>
          <w:b w:val="false"/>
          <w:color w:val="000000"/>
          <w:sz w:val="20"/>
        </w:rPr>
        <w:t>2026</w:t>
      </w:r>
      <w:r>
        <w:rPr>
          <w:color w:val="212529"/>
        </w:rPr>
        <w:t xml:space="preserve"> </w:t>
      </w:r>
      <w:r>
        <w:rPr>
          <w:rFonts w:ascii="Times New Roman;serif" w:hAnsi="Times New Roman;serif"/>
          <w:b w:val="false"/>
          <w:color w:val="212529"/>
          <w:sz w:val="20"/>
        </w:rPr>
        <w:t xml:space="preserve">compared to the </w:t>
      </w:r>
      <w:r>
        <w:rPr>
          <w:rFonts w:ascii="Times New Roman;serif" w:hAnsi="Times New Roman;serif"/>
          <w:b w:val="false"/>
          <w:color w:val="000000"/>
          <w:sz w:val="20"/>
        </w:rPr>
        <w:t>first</w:t>
      </w:r>
      <w:r>
        <w:rPr>
          <w:color w:val="212529"/>
        </w:rPr>
        <w:t xml:space="preserve"> </w:t>
      </w:r>
      <w:r>
        <w:rPr>
          <w:rFonts w:ascii="Times New Roman;serif" w:hAnsi="Times New Roman;serif"/>
          <w:b w:val="false"/>
          <w:color w:val="212529"/>
          <w:sz w:val="20"/>
        </w:rPr>
        <w:t xml:space="preserve">quarter of </w:t>
      </w:r>
      <w:r>
        <w:rPr>
          <w:rFonts w:ascii="Times New Roman;serif" w:hAnsi="Times New Roman;serif"/>
          <w:b w:val="false"/>
          <w:color w:val="000000"/>
          <w:sz w:val="20"/>
        </w:rPr>
        <w:t>2025</w:t>
      </w:r>
      <w:r>
        <w:rPr>
          <w:color w:val="212529"/>
        </w:rPr>
        <w:t xml:space="preserve"> </w:t>
      </w:r>
      <w:r>
        <w:rPr>
          <w:rFonts w:ascii="Times New Roman;serif" w:hAnsi="Times New Roman;serif"/>
          <w:b w:val="false"/>
          <w:color w:val="212529"/>
          <w:sz w:val="20"/>
        </w:rPr>
        <w:t xml:space="preserve">increased primarily due to a $152.6 million decrease in noninterest expense (which included the prior year goodwill impairment charge), a $5.8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40"/>
        <w:jc w:val="left"/>
        <w:rPr/>
      </w:pPr>
      <w:r>
        <w:rPr>
          <w:rFonts w:ascii="Times New Roman;serif" w:hAnsi="Times New Roman;serif"/>
          <w:b w:val="false"/>
          <w:color w:val="212529"/>
          <w:sz w:val="20"/>
        </w:rPr>
        <w:t xml:space="preserve">million decrease in provision for credit losses and a $4.4 million increase in noninterest income. These results were partially offset by a $0.9 million decrease in net interest income and a $2.5 million </w:t>
      </w:r>
      <w:r>
        <w:rPr>
          <w:rFonts w:ascii="Times New Roman;serif" w:hAnsi="Times New Roman;serif"/>
          <w:b w:val="false"/>
          <w:color w:val="000000"/>
          <w:sz w:val="20"/>
        </w:rPr>
        <w:t>increase</w:t>
      </w:r>
      <w:r>
        <w:rPr>
          <w:color w:val="212529"/>
        </w:rPr>
        <w:t xml:space="preserve"> </w:t>
      </w:r>
      <w:r>
        <w:rPr>
          <w:rFonts w:ascii="Times New Roman;serif" w:hAnsi="Times New Roman;serif"/>
          <w:b w:val="false"/>
          <w:color w:val="212529"/>
          <w:sz w:val="20"/>
        </w:rPr>
        <w:t xml:space="preserve">in income tax expense. </w:t>
      </w:r>
    </w:p>
    <w:p>
      <w:pPr>
        <w:pStyle w:val="TextBody"/>
        <w:bidi w:val="0"/>
        <w:spacing w:lineRule="auto" w:line="288" w:before="140" w:after="240"/>
        <w:ind w:left="0" w:right="0" w:firstLine="720"/>
        <w:jc w:val="left"/>
        <w:rPr/>
      </w:pPr>
      <w:r>
        <w:rPr>
          <w:rFonts w:ascii="Times New Roman;serif" w:hAnsi="Times New Roman;serif"/>
          <w:b/>
          <w:i/>
          <w:color w:val="000000"/>
          <w:sz w:val="20"/>
        </w:rPr>
        <w:t>Net Interest Income and Margin.</w:t>
      </w:r>
      <w:r>
        <w:rPr>
          <w:color w:val="000000"/>
        </w:rPr>
        <w:t xml:space="preserve"> </w:t>
      </w:r>
      <w:r>
        <w:rPr>
          <w:rFonts w:ascii="Times New Roman;serif" w:hAnsi="Times New Roman;serif"/>
          <w:b w:val="false"/>
          <w:color w:val="000000"/>
          <w:sz w:val="20"/>
        </w:rPr>
        <w:t>Our primary source of revenue is net interest income, which is the difference between interest income from interest-earning assets (primarily loans and securities) and interest expense of funding sources (primarily interest-bearing deposits and borrowings). Net interest income is influenced by many factors, primarily the volume and mix of interest-earning assets, funding sources and interest rate fluctuations. Noninterest-bearing sources of funds, such as demand deposits and shareholders’ equity, also support interest-earning assets. Net interest margin is calculated as net interest income divided by average interest-earning assets. Net interest margin is presented on a tax-equivalent basis, which means that tax-free interest income has been adjusted to a pretax-equivalent income, assuming a federal income tax rate of 21% for both 2026 and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FOMC concluded its April 2026 meeting by leaving interest rates unchanged, citing low average job gains, elevated inflation, and a high level of uncertainty about the economic outlook stemming from developments in the Middle East. Federal Reserve policymakers voted to leave the benchmark federal funds rate unchanged at its current range of 3.50% to 3.75%. The move follows the central bank's decision to hold rates steady in January and March 2026 after three successive 25-basis-point rate cuts in September, October and December 2025. Economic data showing a slowdown in the labor market, inflation continuing to run higher than the Federal Reserve's 2% target and the unrest in Iran prompted policymakers to continue to pause rate cuts.</w:t>
      </w:r>
    </w:p>
    <w:p>
      <w:pPr>
        <w:pStyle w:val="TextBody"/>
        <w:bidi w:val="0"/>
        <w:spacing w:lineRule="auto" w:line="288" w:before="1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interest income, on a tax-equivalent basis, decreased to $57.6 million compared to $58.5 million for the three months ended March 31, 2025. The tax-equivalent net interest margin increased to 3.91% for the first quarter of 2026 compared to 3.49% in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left"/>
        <w:rPr/>
      </w:pPr>
      <w:r>
        <w:rPr>
          <w:rFonts w:ascii="Times New Roman;serif" w:hAnsi="Times New Roman;serif"/>
          <w:b w:val="false"/>
          <w:i/>
          <w:color w:val="000000"/>
          <w:sz w:val="20"/>
        </w:rPr>
        <w:t xml:space="preserve">Average Balance Sheet, Interest and Yield/Rate Analysis. </w:t>
      </w:r>
      <w:r>
        <w:rPr>
          <w:rFonts w:ascii="Times New Roman;serif" w:hAnsi="Times New Roman;serif"/>
          <w:b w:val="false"/>
          <w:color w:val="000000"/>
          <w:sz w:val="20"/>
        </w:rPr>
        <w:t xml:space="preserve">The following table presents average balance sheet information, interest income, interest expense and the corresponding average yields earned and rates paid for the </w:t>
      </w:r>
      <w:r>
        <w:rPr>
          <w:rFonts w:ascii="Times New Roman;serif" w:hAnsi="Times New Roman;serif"/>
          <w:b w:val="false"/>
          <w:color w:val="212529"/>
          <w:sz w:val="20"/>
        </w:rPr>
        <w:t>three months ended March 31, 2026 and</w:t>
      </w:r>
      <w:r>
        <w:rPr>
          <w:color w:val="000000"/>
        </w:rPr>
        <w:t xml:space="preserve"> </w:t>
      </w:r>
      <w:r>
        <w:rPr>
          <w:rFonts w:ascii="Times New Roman;serif" w:hAnsi="Times New Roman;serif"/>
          <w:b w:val="false"/>
          <w:color w:val="000000"/>
          <w:sz w:val="20"/>
        </w:rPr>
        <w:t>2025. The average balances are principally daily averages and, for loans, include both performing and nonperforming balances. Interest income on loans includes the effects of discount accretion and net deferred loan origination costs accounted for as yield adjustments.</w:t>
      </w:r>
    </w:p>
    <w:tbl>
      <w:tblPr>
        <w:tblW w:w="10591" w:type="dxa"/>
        <w:jc w:val="left"/>
        <w:tblInd w:w="0" w:type="dxa"/>
        <w:tblLayout w:type="fixed"/>
        <w:tblCellMar>
          <w:top w:w="28" w:type="dxa"/>
          <w:left w:w="28" w:type="dxa"/>
          <w:bottom w:w="28" w:type="dxa"/>
          <w:right w:w="28" w:type="dxa"/>
        </w:tblCellMar>
      </w:tblPr>
      <w:tblGrid>
        <w:gridCol w:w="1142"/>
        <w:gridCol w:w="1004"/>
        <w:gridCol w:w="1005"/>
        <w:gridCol w:w="196"/>
        <w:gridCol w:w="871"/>
        <w:gridCol w:w="109"/>
        <w:gridCol w:w="109"/>
        <w:gridCol w:w="109"/>
        <w:gridCol w:w="109"/>
        <w:gridCol w:w="196"/>
        <w:gridCol w:w="646"/>
        <w:gridCol w:w="109"/>
        <w:gridCol w:w="109"/>
        <w:gridCol w:w="109"/>
        <w:gridCol w:w="109"/>
        <w:gridCol w:w="233"/>
        <w:gridCol w:w="233"/>
        <w:gridCol w:w="286"/>
        <w:gridCol w:w="109"/>
        <w:gridCol w:w="109"/>
        <w:gridCol w:w="109"/>
        <w:gridCol w:w="196"/>
        <w:gridCol w:w="871"/>
        <w:gridCol w:w="109"/>
        <w:gridCol w:w="109"/>
        <w:gridCol w:w="109"/>
        <w:gridCol w:w="109"/>
        <w:gridCol w:w="196"/>
        <w:gridCol w:w="646"/>
        <w:gridCol w:w="109"/>
        <w:gridCol w:w="109"/>
        <w:gridCol w:w="109"/>
        <w:gridCol w:w="109"/>
        <w:gridCol w:w="233"/>
        <w:gridCol w:w="233"/>
        <w:gridCol w:w="333"/>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(tax-equivalent basis, 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&amp;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&amp;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br/>
              <w:t>Rate</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Interest-earning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funds sold and cash investments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Investment securities</w:t>
            </w:r>
            <w:r>
              <w:rPr>
                <w:rFonts w:ascii="Times New Roman;serif" w:hAnsi="Times New Roman;serif"/>
                <w:b w:val="false"/>
                <w:color w:val="000000"/>
                <w:sz w:val="18"/>
              </w:rPr>
              <w: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Taxable investment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 securities exempt from federal income tax </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securities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Loans</w:t>
            </w:r>
            <w:r>
              <w:rPr>
                <w:rFonts w:ascii="Times New Roman;serif" w:hAnsi="Times New Roman;serif"/>
                <w:b w:val="false"/>
                <w:color w:val="000000"/>
                <w:sz w:val="18"/>
              </w:rPr>
              <w:t>:</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Loans </w:t>
            </w:r>
            <w:r>
              <w:rPr>
                <w:rFonts w:ascii="Times New Roman;serif" w:hAnsi="Times New Roman;serif"/>
                <w:b w:val="false"/>
                <w:color w:val="000000"/>
                <w:sz w:val="12"/>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Loans exempt from federal income tax </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5,057,394 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Nonmarketable equity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5,974,605 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Noninterest-earning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7,467,854 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Interest-bearing liabilities: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Deposits: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Checking and money market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time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5,074,007 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FHLB advances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preferred debentures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4,816,523 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Noninterest-bearing liabilities: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noninterest-bearing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noninterest-bearing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7,467,854 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interest income / net interest margin </w:t>
            </w:r>
            <w:r>
              <w:rPr>
                <w:rFonts w:ascii="Times New Roman;serif" w:hAnsi="Times New Roman;serif"/>
                <w:b w:val="false"/>
                <w:color w:val="000000"/>
                <w:sz w:val="12"/>
              </w:rPr>
              <w:t>(3)</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57,635 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(1)Interest income and average rates for tax-exempt loans and securities are presented on a tax-equivalent basis, assuming a federal income tax rate of 21%. Tax-equivalent adjustments totaled $0.2 million for both the three months ended March 31, 2026 and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(2)Average loan balances include nonaccrual loans. Interest income on loans includes amortization of deferred loan fees, net of deferred loan costs.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(3)Net interest margin during the periods presented represents: (i) the difference between interest income on interest-earning assets and the interest expense on interest-bearing liabilities, divided by (ii) average interest-earning assets for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40"/>
        <w:ind w:left="0" w:right="0" w:firstLine="720"/>
        <w:jc w:val="left"/>
        <w:rPr/>
      </w:pPr>
      <w:r>
        <w:rPr>
          <w:rFonts w:ascii="Times New Roman;serif" w:hAnsi="Times New Roman;serif"/>
          <w:b w:val="false"/>
          <w:i/>
          <w:color w:val="000000"/>
          <w:sz w:val="20"/>
        </w:rPr>
        <w:t xml:space="preserve">Interest Rates and Operating Interest Differential. </w:t>
      </w:r>
      <w:r>
        <w:rPr>
          <w:rFonts w:ascii="Times New Roman;serif" w:hAnsi="Times New Roman;serif"/>
          <w:b w:val="false"/>
          <w:color w:val="000000"/>
          <w:sz w:val="20"/>
        </w:rPr>
        <w:t>Increases and decreases in interest income and interest expense result from changes in average balances (volume) of interest-earning assets and interest-bearing liabilities, as well as changes in average interest rates. The following table shows the effect that these factors had on the interest earned on our interest-earning assets and the interest incurred on our interest-bearing liabilities. The effect of changes in volume is determined by multiplying the change in volume by the previous period’s average rate. Similarly, the effect of rate changes is calculated by multiplying the change in average rate by the previous period’s volume. Changes which are not due solely to volume or rate have been allocated proportionally to the change due to volume and the change due to rate.</w:t>
      </w:r>
    </w:p>
    <w:tbl>
      <w:tblPr>
        <w:tblW w:w="10205" w:type="dxa"/>
        <w:jc w:val="left"/>
        <w:tblInd w:w="0" w:type="dxa"/>
        <w:tblLayout w:type="fixed"/>
        <w:tblCellMar>
          <w:top w:w="28" w:type="dxa"/>
          <w:left w:w="28" w:type="dxa"/>
          <w:bottom w:w="28" w:type="dxa"/>
          <w:right w:w="28" w:type="dxa"/>
        </w:tblCellMar>
      </w:tblPr>
      <w:tblGrid>
        <w:gridCol w:w="1292"/>
        <w:gridCol w:w="1137"/>
        <w:gridCol w:w="1138"/>
        <w:gridCol w:w="320"/>
        <w:gridCol w:w="1009"/>
        <w:gridCol w:w="178"/>
        <w:gridCol w:w="178"/>
        <w:gridCol w:w="178"/>
        <w:gridCol w:w="178"/>
        <w:gridCol w:w="320"/>
        <w:gridCol w:w="910"/>
        <w:gridCol w:w="178"/>
        <w:gridCol w:w="178"/>
        <w:gridCol w:w="178"/>
        <w:gridCol w:w="178"/>
        <w:gridCol w:w="332"/>
        <w:gridCol w:w="788"/>
        <w:gridCol w:w="178"/>
        <w:gridCol w:w="109"/>
        <w:gridCol w:w="109"/>
        <w:gridCol w:w="109"/>
        <w:gridCol w:w="109"/>
        <w:gridCol w:w="109"/>
        <w:gridCol w:w="109"/>
        <w:gridCol w:w="109"/>
        <w:gridCol w:w="109"/>
        <w:gridCol w:w="109"/>
        <w:gridCol w:w="109"/>
        <w:gridCol w:w="109"/>
        <w:gridCol w:w="158"/>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 compared with 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8"/>
            <w:tcBorders/>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due to:</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(tax-equivalent basis, dollars in thousands)</w:t>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 assets:</w:t>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 funds sold and cash investments</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Taxable investment securities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exempt from federal income tax</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securities</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exempt from federal income tax</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(12,466)</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(12,074)</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Nonmarketable equity securities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earning assets</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(13,587)</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liabilities:</w:t>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Checking and money market deposits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deposits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 deposits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Brokered deposits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deposits</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debt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preferred debentures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(7,370)</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40"/>
        <w:ind w:left="0" w:right="0" w:firstLine="720"/>
        <w:jc w:val="left"/>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For the three months ended March 31, 2026, interest income, on a tax-equivalent basis, decreased $13.3 million to $86.2 million as compared to the same period in 2025, primarily due to a decline in earning assets as described below. The yield on earning assets decreased nine basis points to 5.85% from 5.94%.</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Average earning assets decreased to $5.97 billion in the first quarter of 2026 from $6.80 billion in the same quarter of 2025. Average loans and average loans held for sale decreased $803.1 million and $319.5 million, respectively. These decreases were partially offset by an increase in investment securities of $280.5 million. </w:t>
      </w:r>
    </w:p>
    <w:p>
      <w:pPr>
        <w:pStyle w:val="TextBody"/>
        <w:bidi w:val="0"/>
        <w:spacing w:lineRule="auto" w:line="288" w:before="1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Average loans decreased $803.1 million in the first quarter of 2026 compared to the same quarter of 2025. During the fourth quarter of 2025, the Company sold substantially all of its equipment finance portfolio. As a result, equipment finance loan and lease average balances decreased $728.7 million (to $55.4 million) for the three months ended March 31, 2026 compared to the same period of 2025. Proceeds from the sale of substantially all of the portfolio were used to purchase investment securities and reduce higher-cost funding for the Company.</w:t>
      </w:r>
    </w:p>
    <w:p>
      <w:pPr>
        <w:pStyle w:val="TextBody"/>
        <w:bidi w:val="0"/>
        <w:spacing w:lineRule="auto" w:line="288" w:before="3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$326.3 million of average loans held for sale in the first quarter of 2025 included $320.9 million of GreenSky consumer loans. The Company completed the sale of this portfolio in the second quarter of 2025. </w:t>
      </w:r>
    </w:p>
    <w:p>
      <w:pPr>
        <w:pStyle w:val="TextBody"/>
        <w:bidi w:val="0"/>
        <w:spacing w:lineRule="auto" w:line="288" w:before="140" w:after="240"/>
        <w:ind w:left="0" w:right="0" w:firstLine="720"/>
        <w:jc w:val="left"/>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 xml:space="preserve">Interest expense decreased </w:t>
      </w:r>
      <w:r>
        <w:rPr>
          <w:rFonts w:ascii="Times New Roman;serif" w:hAnsi="Times New Roman;serif"/>
          <w:b w:val="false"/>
          <w:color w:val="212529"/>
          <w:sz w:val="20"/>
        </w:rPr>
        <w:t>$12.5 million</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212529"/>
          <w:sz w:val="20"/>
        </w:rPr>
        <w:t>$28.6 million f</w:t>
      </w:r>
      <w:r>
        <w:rPr>
          <w:rFonts w:ascii="Times New Roman;serif" w:hAnsi="Times New Roman;serif"/>
          <w:b w:val="false"/>
          <w:color w:val="000000"/>
          <w:sz w:val="20"/>
        </w:rPr>
        <w:t xml:space="preserve">or the three months ended March 31, 2026 compared to the same period in 2025. The cost of interest-bearing liabilities decreased to 2.41% for the first quarter of 2026, compared to 2.99% for the first quarter of 2025 </w:t>
      </w:r>
      <w:r>
        <w:rPr>
          <w:rFonts w:ascii="Times New Roman;serif" w:hAnsi="Times New Roman;serif"/>
          <w:b w:val="false"/>
          <w:color w:val="212529"/>
          <w:sz w:val="20"/>
        </w:rPr>
        <w:t xml:space="preserve">due to a decrease in both the rates paid on deposits and a decrease in average balances. </w:t>
      </w:r>
    </w:p>
    <w:p>
      <w:pPr>
        <w:pStyle w:val="TextBody"/>
        <w:bidi w:val="0"/>
        <w:spacing w:lineRule="auto" w:line="288" w:before="140" w:after="240"/>
        <w:ind w:left="0" w:right="0" w:firstLine="720"/>
        <w:jc w:val="left"/>
        <w:rPr/>
      </w:pPr>
      <w:r>
        <w:rPr>
          <w:rFonts w:ascii="Times New Roman;serif" w:hAnsi="Times New Roman;serif"/>
          <w:b w:val="false"/>
          <w:color w:val="000000"/>
          <w:sz w:val="20"/>
        </w:rPr>
        <w:t>I</w:t>
      </w:r>
      <w:r>
        <w:rPr>
          <w:rFonts w:ascii="Times New Roman;serif" w:hAnsi="Times New Roman;serif"/>
          <w:b w:val="false"/>
          <w:color w:val="212529"/>
          <w:sz w:val="20"/>
        </w:rPr>
        <w:t xml:space="preserve">nterest expense on deposits decreased $10.4 million to $24.2 million for the </w:t>
      </w:r>
      <w:r>
        <w:rPr>
          <w:rFonts w:ascii="Times New Roman;serif" w:hAnsi="Times New Roman;serif"/>
          <w:b w:val="false"/>
          <w:color w:val="000000"/>
          <w:sz w:val="20"/>
        </w:rPr>
        <w:t>three months ended March 31, 2026</w:t>
      </w:r>
      <w:r>
        <w:rPr>
          <w:color w:val="212529"/>
        </w:rPr>
        <w:t xml:space="preserve"> </w:t>
      </w:r>
      <w:r>
        <w:rPr>
          <w:rFonts w:ascii="Times New Roman;serif" w:hAnsi="Times New Roman;serif"/>
          <w:b w:val="false"/>
          <w:color w:val="212529"/>
          <w:sz w:val="20"/>
        </w:rPr>
        <w:t xml:space="preserve">compared to $34.6 million in the same quarter of </w:t>
      </w:r>
      <w:r>
        <w:rPr>
          <w:rFonts w:ascii="Times New Roman;serif" w:hAnsi="Times New Roman;serif"/>
          <w:b w:val="false"/>
          <w:color w:val="000000"/>
          <w:sz w:val="20"/>
        </w:rPr>
        <w:t>2025, driven primarily by the rate cuts enacted by the Federal Reserve Bank beginning in late 2024.</w:t>
      </w:r>
      <w:r>
        <w:rPr>
          <w:color w:val="212529"/>
        </w:rPr>
        <w:t xml:space="preserve"> </w:t>
      </w:r>
    </w:p>
    <w:p>
      <w:pPr>
        <w:pStyle w:val="TextBody"/>
        <w:bidi w:val="0"/>
        <w:spacing w:lineRule="auto" w:line="288" w:before="140" w:after="240"/>
        <w:ind w:left="0" w:right="0" w:firstLine="720"/>
        <w:jc w:val="left"/>
        <w:rPr/>
      </w:pPr>
      <w:r>
        <w:rPr>
          <w:rFonts w:ascii="Times New Roman;serif" w:hAnsi="Times New Roman;serif"/>
          <w:b w:val="false"/>
          <w:color w:val="212529"/>
          <w:sz w:val="20"/>
        </w:rPr>
        <w:t xml:space="preserve">Average balances of interest-bearing deposit accounts decreased $643.1 million, or 12.7%, to </w:t>
      </w:r>
      <w:r>
        <w:rPr>
          <w:rFonts w:ascii="Times New Roman;serif" w:hAnsi="Times New Roman;serif"/>
          <w:b w:val="false"/>
          <w:color w:val="000000"/>
          <w:sz w:val="20"/>
        </w:rPr>
        <w:t>$4.43 billion</w:t>
      </w:r>
      <w:r>
        <w:rPr>
          <w:color w:val="212529"/>
        </w:rPr>
        <w:t xml:space="preserve"> </w:t>
      </w:r>
      <w:r>
        <w:rPr>
          <w:rFonts w:ascii="Times New Roman;serif" w:hAnsi="Times New Roman;serif"/>
          <w:b w:val="false"/>
          <w:color w:val="212529"/>
          <w:sz w:val="20"/>
        </w:rPr>
        <w:t xml:space="preserve">for the </w:t>
      </w:r>
      <w:r>
        <w:rPr>
          <w:rFonts w:ascii="Times New Roman;serif" w:hAnsi="Times New Roman;serif"/>
          <w:b w:val="false"/>
          <w:color w:val="000000"/>
          <w:sz w:val="20"/>
        </w:rPr>
        <w:t>three months ended March 31, 2026</w:t>
      </w:r>
      <w:r>
        <w:rPr>
          <w:color w:val="212529"/>
        </w:rPr>
        <w:t xml:space="preserve"> </w:t>
      </w:r>
      <w:r>
        <w:rPr>
          <w:rFonts w:ascii="Times New Roman;serif" w:hAnsi="Times New Roman;serif"/>
          <w:b w:val="false"/>
          <w:color w:val="212529"/>
          <w:sz w:val="20"/>
        </w:rPr>
        <w:t xml:space="preserve">compared to the same period one year earlier. Proceeds from the sales of substantially all of our equipment financing portfolio and </w:t>
      </w:r>
      <w:r>
        <w:rPr>
          <w:rFonts w:ascii="Times New Roman;serif" w:hAnsi="Times New Roman;serif"/>
          <w:b w:val="false"/>
          <w:color w:val="000000"/>
          <w:sz w:val="20"/>
        </w:rPr>
        <w:t xml:space="preserve">non-core consumer loan portfolios </w:t>
      </w:r>
      <w:r>
        <w:rPr>
          <w:rFonts w:ascii="Times New Roman;serif" w:hAnsi="Times New Roman;serif"/>
          <w:b w:val="false"/>
          <w:color w:val="212529"/>
          <w:sz w:val="20"/>
        </w:rPr>
        <w:t>in 2025 were used to reduce higher-cost deposit funding for the Company, including servicing deposits and brokered deposits.</w:t>
      </w:r>
    </w:p>
    <w:p>
      <w:pPr>
        <w:pStyle w:val="TextBody"/>
        <w:bidi w:val="0"/>
        <w:spacing w:lineRule="auto" w:line="288" w:before="140" w:after="240"/>
        <w:ind w:left="0" w:right="0" w:firstLine="720"/>
        <w:jc w:val="left"/>
        <w:rPr/>
      </w:pPr>
      <w:r>
        <w:rPr>
          <w:rFonts w:ascii="Times New Roman;serif" w:hAnsi="Times New Roman;serif"/>
          <w:b w:val="false"/>
          <w:color w:val="212529"/>
          <w:sz w:val="20"/>
        </w:rPr>
        <w:t xml:space="preserve">Interest expense on subordinated debt decreased $1.0 million for the </w:t>
      </w:r>
      <w:r>
        <w:rPr>
          <w:rFonts w:ascii="Times New Roman;serif" w:hAnsi="Times New Roman;serif"/>
          <w:b w:val="false"/>
          <w:color w:val="000000"/>
          <w:sz w:val="20"/>
        </w:rPr>
        <w:t>three months ended March 31, 2026</w:t>
      </w:r>
      <w:r>
        <w:rPr>
          <w:rFonts w:ascii="Times New Roman;serif" w:hAnsi="Times New Roman;serif"/>
          <w:b w:val="false"/>
          <w:color w:val="212529"/>
          <w:sz w:val="20"/>
        </w:rPr>
        <w:t xml:space="preserve">, compared to the prior year, due to a decrease in average balances. The average balance decreased $50.7 million for the </w:t>
      </w:r>
      <w:r>
        <w:rPr>
          <w:rFonts w:ascii="Times New Roman;serif" w:hAnsi="Times New Roman;serif"/>
          <w:b w:val="false"/>
          <w:color w:val="000000"/>
          <w:sz w:val="20"/>
        </w:rPr>
        <w:t>three months ended March 31, 2026</w:t>
      </w:r>
      <w:r>
        <w:rPr>
          <w:rFonts w:ascii="Times New Roman;serif" w:hAnsi="Times New Roman;serif"/>
          <w:b w:val="false"/>
          <w:color w:val="212529"/>
          <w:sz w:val="20"/>
        </w:rPr>
        <w:t xml:space="preserve">, compared to the same period in 2025, due the redemption of </w:t>
      </w:r>
      <w:r>
        <w:rPr>
          <w:rFonts w:ascii="Times New Roman;serif" w:hAnsi="Times New Roman;serif"/>
          <w:b w:val="false"/>
          <w:color w:val="000000"/>
          <w:sz w:val="20"/>
        </w:rPr>
        <w:t>$50.8 million of de</w:t>
      </w:r>
      <w:r>
        <w:rPr>
          <w:rFonts w:ascii="Times New Roman;serif" w:hAnsi="Times New Roman;serif"/>
          <w:b w:val="false"/>
          <w:color w:val="212529"/>
          <w:sz w:val="20"/>
        </w:rPr>
        <w:t>bt as of September 30, 2025.</w:t>
      </w:r>
    </w:p>
    <w:p>
      <w:pPr>
        <w:pStyle w:val="TextBody"/>
        <w:bidi w:val="0"/>
        <w:spacing w:lineRule="auto" w:line="288" w:before="240" w:after="240"/>
        <w:ind w:left="0" w:right="0" w:firstLine="720"/>
        <w:jc w:val="left"/>
        <w:rPr/>
      </w:pPr>
      <w:r>
        <w:rPr>
          <w:rFonts w:ascii="Times New Roman;serif" w:hAnsi="Times New Roman;serif"/>
          <w:b/>
          <w:i/>
          <w:color w:val="000000"/>
          <w:sz w:val="20"/>
        </w:rPr>
        <w:t>Provision for Credit Losses</w:t>
      </w:r>
      <w:r>
        <w:rPr>
          <w:rFonts w:ascii="Times New Roman;serif" w:hAnsi="Times New Roman;serif"/>
          <w:b w:val="false"/>
          <w:color w:val="212529"/>
          <w:sz w:val="20"/>
        </w:rPr>
        <w:t xml:space="preserve">. The Company's provision for credit losses totaled $5.0 million and $10.9 million for the three months ended March 31, 2026 and </w:t>
      </w:r>
      <w:r>
        <w:rPr>
          <w:rFonts w:ascii="Times New Roman;serif" w:hAnsi="Times New Roman;serif"/>
          <w:b w:val="false"/>
          <w:color w:val="000000"/>
          <w:sz w:val="20"/>
        </w:rPr>
        <w:t>2025</w:t>
      </w:r>
      <w:r>
        <w:rPr>
          <w:rFonts w:ascii="Times New Roman;serif" w:hAnsi="Times New Roman;serif"/>
          <w:b w:val="false"/>
          <w:color w:val="212529"/>
          <w:sz w:val="20"/>
        </w:rPr>
        <w:t xml:space="preserve">, respectively. Provision expense for the </w:t>
      </w:r>
      <w:r>
        <w:rPr>
          <w:rFonts w:ascii="Times New Roman;serif" w:hAnsi="Times New Roman;serif"/>
          <w:b w:val="false"/>
          <w:color w:val="000000"/>
          <w:sz w:val="20"/>
        </w:rPr>
        <w:t>first</w:t>
      </w:r>
      <w:r>
        <w:rPr>
          <w:color w:val="212529"/>
        </w:rPr>
        <w:t xml:space="preserve"> </w:t>
      </w:r>
      <w:r>
        <w:rPr>
          <w:rFonts w:ascii="Times New Roman;serif" w:hAnsi="Times New Roman;serif"/>
          <w:b w:val="false"/>
          <w:color w:val="212529"/>
          <w:sz w:val="20"/>
        </w:rPr>
        <w:t xml:space="preserve">quarter of </w:t>
      </w:r>
      <w:r>
        <w:rPr>
          <w:rFonts w:ascii="Times New Roman;serif" w:hAnsi="Times New Roman;serif"/>
          <w:b w:val="false"/>
          <w:color w:val="000000"/>
          <w:sz w:val="20"/>
        </w:rPr>
        <w:t>2026</w:t>
      </w:r>
      <w:r>
        <w:rPr>
          <w:color w:val="212529"/>
        </w:rPr>
        <w:t xml:space="preserve"> </w:t>
      </w:r>
      <w:r>
        <w:rPr>
          <w:rFonts w:ascii="Times New Roman;serif" w:hAnsi="Times New Roman;serif"/>
          <w:b w:val="false"/>
          <w:color w:val="212529"/>
          <w:sz w:val="20"/>
        </w:rPr>
        <w:t>included $0.4 million recapture of provision for credit losses on unfunded commitments. The decrease in the provision for credit losses for the three months ended March 31, 2026 compared to the same period in 2025 was due in part to the sale of the equipment finance portfolio that occurred in late 2025, and the Company's continued efforts to remediate nonperforming loans and improve credit underwriting.</w:t>
      </w:r>
    </w:p>
    <w:p>
      <w:pPr>
        <w:pStyle w:val="TextBody"/>
        <w:bidi w:val="0"/>
        <w:spacing w:lineRule="auto" w:line="288" w:before="140" w:after="240"/>
        <w:ind w:left="0" w:right="0" w:firstLine="720"/>
        <w:jc w:val="left"/>
        <w:rPr>
          <w:rFonts w:ascii="Times New Roman;serif" w:hAnsi="Times New Roman;serif"/>
          <w:b w:val="false"/>
          <w:color w:val="212529"/>
          <w:sz w:val="20"/>
        </w:rPr>
      </w:pPr>
      <w:r>
        <w:rPr>
          <w:rFonts w:ascii="Times New Roman;serif" w:hAnsi="Times New Roman;serif"/>
          <w:b w:val="false"/>
          <w:color w:val="212529"/>
          <w:sz w:val="20"/>
        </w:rPr>
        <w:t>The provision for credit losses on loans recognized during the three months ended March 31, 2026 was made at a level deemed necessary by Management to absorb estimated losses in the loan portfolio. A detailed evaluation of the adequacy of the allowance for credit losses is completed quarterly by Management, the results of which are used to determine provision for credit losses. Management estimates the allowance balance required using past loan loss experience, the nature and volume of the portfolio, information about specific borrower situations and estimated collateral values, economic conditions and reasonable and supportable forecasts along with other qualitative and quantitative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left"/>
        <w:rPr/>
      </w:pPr>
      <w:r>
        <w:rPr>
          <w:rFonts w:ascii="Times New Roman;serif" w:hAnsi="Times New Roman;serif"/>
          <w:b/>
          <w:i/>
          <w:color w:val="000000"/>
          <w:sz w:val="20"/>
        </w:rPr>
        <w:t>Noninterest Income.</w:t>
      </w:r>
      <w:r>
        <w:rPr>
          <w:color w:val="000000"/>
        </w:rPr>
        <w:t xml:space="preserve"> </w:t>
      </w:r>
      <w:r>
        <w:rPr>
          <w:rFonts w:ascii="Times New Roman;serif" w:hAnsi="Times New Roman;serif"/>
          <w:b w:val="false"/>
          <w:color w:val="000000"/>
          <w:sz w:val="20"/>
        </w:rPr>
        <w:t>The following table presents the major components of our noninterest income for the three months ended March 31, 2026 and 2025:</w:t>
      </w:r>
    </w:p>
    <w:tbl>
      <w:tblPr>
        <w:tblW w:w="7343" w:type="dxa"/>
        <w:jc w:val="left"/>
        <w:tblInd w:w="0" w:type="dxa"/>
        <w:tblLayout w:type="fixed"/>
        <w:tblCellMar>
          <w:top w:w="28" w:type="dxa"/>
          <w:left w:w="28" w:type="dxa"/>
          <w:bottom w:w="28" w:type="dxa"/>
          <w:right w:w="28" w:type="dxa"/>
        </w:tblCellMar>
      </w:tblPr>
      <w:tblGrid>
        <w:gridCol w:w="1108"/>
        <w:gridCol w:w="974"/>
        <w:gridCol w:w="977"/>
        <w:gridCol w:w="211"/>
        <w:gridCol w:w="695"/>
        <w:gridCol w:w="117"/>
        <w:gridCol w:w="117"/>
        <w:gridCol w:w="117"/>
        <w:gridCol w:w="117"/>
        <w:gridCol w:w="211"/>
        <w:gridCol w:w="695"/>
        <w:gridCol w:w="117"/>
        <w:gridCol w:w="109"/>
        <w:gridCol w:w="109"/>
        <w:gridCol w:w="109"/>
        <w:gridCol w:w="196"/>
        <w:gridCol w:w="556"/>
        <w:gridCol w:w="109"/>
        <w:gridCol w:w="109"/>
        <w:gridCol w:w="109"/>
        <w:gridCol w:w="10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Noninterest income:</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Wealth management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charges on deposit accounts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Interchange revenue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 banking revenue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on company-owned life insurance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sales of investment securities, net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enhancement income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720"/>
        <w:jc w:val="left"/>
        <w:rPr/>
      </w:pPr>
      <w:r>
        <w:rPr>
          <w:rFonts w:ascii="Times New Roman;serif" w:hAnsi="Times New Roman;serif"/>
          <w:b w:val="false"/>
          <w:i/>
          <w:color w:val="000000"/>
          <w:sz w:val="20"/>
        </w:rPr>
        <w:t>Wealth management revenue</w:t>
      </w:r>
      <w:r>
        <w:rPr>
          <w:rFonts w:ascii="Times New Roman;serif" w:hAnsi="Times New Roman;serif"/>
          <w:b w:val="false"/>
          <w:color w:val="000000"/>
          <w:sz w:val="20"/>
        </w:rPr>
        <w:t xml:space="preserve">. Wealth management revenue increased </w:t>
      </w:r>
      <w:r>
        <w:rPr>
          <w:rFonts w:ascii="Times New Roman;serif" w:hAnsi="Times New Roman;serif"/>
          <w:b w:val="false"/>
          <w:color w:val="212529"/>
          <w:sz w:val="20"/>
        </w:rPr>
        <w:t>$0.9 million</w:t>
      </w:r>
      <w:r>
        <w:rPr>
          <w:rFonts w:ascii="Times New Roman;serif" w:hAnsi="Times New Roman;serif"/>
          <w:b w:val="false"/>
          <w:color w:val="000000"/>
          <w:sz w:val="20"/>
        </w:rPr>
        <w:t>, or 12.2%, for three months ended March 31, 2026 as compared to the same period in 2025, driven by growth in assets under administration. Assets under administration increased 9.1% to $4.47 billion at March 31, 2026 from $4.10 billion at March 31, 2025.</w:t>
      </w:r>
    </w:p>
    <w:p>
      <w:pPr>
        <w:pStyle w:val="TextBody"/>
        <w:bidi w:val="0"/>
        <w:spacing w:lineRule="auto" w:line="288" w:before="0" w:after="0"/>
        <w:ind w:left="0" w:right="0" w:firstLine="720"/>
        <w:jc w:val="left"/>
        <w:rPr/>
      </w:pPr>
      <w:r>
        <w:rPr>
          <w:rFonts w:ascii="Times New Roman;serif" w:hAnsi="Times New Roman;serif"/>
          <w:b w:val="false"/>
          <w:i/>
          <w:color w:val="000000"/>
          <w:sz w:val="20"/>
        </w:rPr>
        <w:t>Credit enhancement income.</w:t>
      </w:r>
      <w:r>
        <w:rPr>
          <w:color w:val="000000"/>
        </w:rPr>
        <w:t xml:space="preserve"> </w:t>
      </w:r>
      <w:r>
        <w:rPr>
          <w:rFonts w:ascii="Times New Roman;serif" w:hAnsi="Times New Roman;serif"/>
          <w:b w:val="false"/>
          <w:color w:val="000000"/>
          <w:sz w:val="20"/>
        </w:rPr>
        <w:t xml:space="preserve">In 2025 and through December 30, 2025, the Company was party to one third-party loan origination program, wherein the third-party provider offered various credit enhancements with respect to loans originated under the program, including contributions to reserve accounts, yield maintenance and certain other payments. When the allowance for credit losses on loans was recorded, a credit enhancement derivative was also recorded on our balance sheet with a corresponding entry to credit enhancement income in recognition of the partner's legal commitment to indemnify or reimburse the Company. The credit enhancement asset was relieved as credit enhancement payments and recoveries were received from the partner or taken from the partner's cash reserve account. Effective December 31, 2025, the Company modified its third-party lending and servicing arrangements with its sole partner, eliminating the credit enhancement derivative. The new arrangements provide a credit enhancement by the partner which protects the Company by indemnifying or reimbursing incurred losses. We estimate and record an allowance for expected credit losses and a corresponding credit enhancement asset on the balance sheet through credit enhancement income.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recognized </w:t>
      </w:r>
      <w:r>
        <w:rPr>
          <w:rFonts w:ascii="Times New Roman;serif" w:hAnsi="Times New Roman;serif"/>
          <w:b w:val="false"/>
          <w:color w:val="212529"/>
          <w:sz w:val="20"/>
        </w:rPr>
        <w:t>$3.4 million</w:t>
      </w:r>
      <w:r>
        <w:rPr>
          <w:color w:val="000000"/>
        </w:rPr>
        <w:t xml:space="preserve"> </w:t>
      </w:r>
      <w:r>
        <w:rPr>
          <w:rFonts w:ascii="Times New Roman;serif" w:hAnsi="Times New Roman;serif"/>
          <w:b w:val="false"/>
          <w:color w:val="000000"/>
          <w:sz w:val="20"/>
        </w:rPr>
        <w:t xml:space="preserve">of credit enhancement income during the three months ended March 31, 2026, which correlated to a similar amount of provision for credit losses as a result of the new arrangement entered into at December 31, 2025. </w:t>
      </w:r>
    </w:p>
    <w:p>
      <w:pPr>
        <w:pStyle w:val="TextBody"/>
        <w:bidi w:val="0"/>
        <w:spacing w:lineRule="auto" w:line="288" w:before="140" w:after="240"/>
        <w:ind w:left="0" w:right="0" w:firstLine="720"/>
        <w:jc w:val="left"/>
        <w:rPr/>
      </w:pPr>
      <w:r>
        <w:rPr>
          <w:rFonts w:ascii="Times New Roman;serif" w:hAnsi="Times New Roman;serif"/>
          <w:b w:val="false"/>
          <w:i/>
          <w:color w:val="000000"/>
          <w:sz w:val="20"/>
        </w:rPr>
        <w:t>Other noninterest income.</w:t>
      </w:r>
      <w:r>
        <w:rPr>
          <w:color w:val="212529"/>
        </w:rPr>
        <w:t xml:space="preserve"> </w:t>
      </w:r>
      <w:r>
        <w:rPr>
          <w:rFonts w:ascii="Times New Roman;serif" w:hAnsi="Times New Roman;serif"/>
          <w:b w:val="false"/>
          <w:color w:val="000000"/>
          <w:sz w:val="20"/>
        </w:rPr>
        <w:t xml:space="preserve">Other income increased </w:t>
      </w:r>
      <w:r>
        <w:rPr>
          <w:rFonts w:ascii="Times New Roman;serif" w:hAnsi="Times New Roman;serif"/>
          <w:b w:val="false"/>
          <w:color w:val="212529"/>
          <w:sz w:val="20"/>
        </w:rPr>
        <w:t>$1.1 million</w:t>
      </w:r>
      <w:r>
        <w:rPr>
          <w:color w:val="000000"/>
        </w:rPr>
        <w:t xml:space="preserve"> </w:t>
      </w:r>
      <w:r>
        <w:rPr>
          <w:rFonts w:ascii="Times New Roman;serif" w:hAnsi="Times New Roman;serif"/>
          <w:b w:val="false"/>
          <w:color w:val="000000"/>
          <w:sz w:val="20"/>
        </w:rPr>
        <w:t>for the three months ended March 31, 2026, as compared to the same period in 2025. In 2026, the Company recognized $2.1 million in gains from the sale of mortgage servicing rights and $0.6 million in servicing fees related to GreenSky consumer loans, which were sold in the second quarter of 2025. These gains were partially offset by $1.7 million of losses in our limited partnership investments and the elimination of operating lease revenue due to the sale of our equipment finance portfolio in the fourth quarter of 2025. Operating lease revenue totaled $0.8 million in the first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56" w:before="100" w:after="240"/>
        <w:ind w:left="0" w:right="0" w:firstLine="720"/>
        <w:jc w:val="left"/>
        <w:rPr/>
      </w:pPr>
      <w:r>
        <w:rPr>
          <w:rFonts w:ascii="Times New Roman;serif" w:hAnsi="Times New Roman;serif"/>
          <w:b/>
          <w:i/>
          <w:color w:val="000000"/>
          <w:sz w:val="20"/>
        </w:rPr>
        <w:t>Noninterest Expense.</w:t>
      </w:r>
      <w:r>
        <w:rPr>
          <w:color w:val="000000"/>
        </w:rPr>
        <w:t xml:space="preserve"> </w:t>
      </w:r>
      <w:r>
        <w:rPr>
          <w:rFonts w:ascii="Times New Roman;serif" w:hAnsi="Times New Roman;serif"/>
          <w:b w:val="false"/>
          <w:color w:val="000000"/>
          <w:sz w:val="20"/>
        </w:rPr>
        <w:t xml:space="preserve">The following table sets forth the major components of noninterest expense for the </w:t>
      </w:r>
      <w:r>
        <w:rPr>
          <w:rFonts w:ascii="Times New Roman;serif" w:hAnsi="Times New Roman;serif"/>
          <w:b w:val="false"/>
          <w:color w:val="212529"/>
          <w:sz w:val="20"/>
        </w:rPr>
        <w:t>three months ended March 31, 2026 and</w:t>
      </w:r>
      <w:r>
        <w:rPr>
          <w:color w:val="000000"/>
        </w:rPr>
        <w:t xml:space="preserve"> </w:t>
      </w:r>
      <w:r>
        <w:rPr>
          <w:rFonts w:ascii="Times New Roman;serif" w:hAnsi="Times New Roman;serif"/>
          <w:b w:val="false"/>
          <w:color w:val="212529"/>
          <w:sz w:val="20"/>
        </w:rPr>
        <w:t>2025</w:t>
      </w:r>
      <w:r>
        <w:rPr>
          <w:rFonts w:ascii="Times New Roman;serif" w:hAnsi="Times New Roman;serif"/>
          <w:b w:val="false"/>
          <w:color w:val="000000"/>
          <w:sz w:val="20"/>
        </w:rPr>
        <w:t>:</w:t>
      </w:r>
    </w:p>
    <w:tbl>
      <w:tblPr>
        <w:tblW w:w="8119" w:type="dxa"/>
        <w:jc w:val="left"/>
        <w:tblInd w:w="0" w:type="dxa"/>
        <w:tblLayout w:type="fixed"/>
        <w:tblCellMar>
          <w:top w:w="28" w:type="dxa"/>
          <w:left w:w="28" w:type="dxa"/>
          <w:bottom w:w="28" w:type="dxa"/>
          <w:right w:w="28" w:type="dxa"/>
        </w:tblCellMar>
      </w:tblPr>
      <w:tblGrid>
        <w:gridCol w:w="863"/>
        <w:gridCol w:w="759"/>
        <w:gridCol w:w="762"/>
        <w:gridCol w:w="202"/>
        <w:gridCol w:w="668"/>
        <w:gridCol w:w="112"/>
        <w:gridCol w:w="112"/>
        <w:gridCol w:w="112"/>
        <w:gridCol w:w="112"/>
        <w:gridCol w:w="202"/>
        <w:gridCol w:w="762"/>
        <w:gridCol w:w="112"/>
        <w:gridCol w:w="109"/>
        <w:gridCol w:w="109"/>
        <w:gridCol w:w="109"/>
        <w:gridCol w:w="196"/>
        <w:gridCol w:w="811"/>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Noninterest expense:</w:t>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Data processing</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insurance</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expense</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fees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on goodwill</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203,005 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pPr>
      <w:r>
        <w:rPr>
          <w:rFonts w:ascii="Times New Roman;serif" w:hAnsi="Times New Roman;serif"/>
          <w:b w:val="false"/>
          <w:i/>
          <w:color w:val="000000"/>
          <w:sz w:val="20"/>
        </w:rPr>
        <w:t xml:space="preserve">Salaries and employee benefits. </w:t>
      </w:r>
      <w:r>
        <w:rPr>
          <w:rFonts w:ascii="Times New Roman;serif" w:hAnsi="Times New Roman;serif"/>
          <w:b w:val="false"/>
          <w:color w:val="000000"/>
          <w:sz w:val="20"/>
        </w:rPr>
        <w:t xml:space="preserve">For the three months ended March 31, 2026, salaries and employee benefits expense decreased </w:t>
      </w:r>
      <w:r>
        <w:rPr>
          <w:rFonts w:ascii="Times New Roman;serif" w:hAnsi="Times New Roman;serif"/>
          <w:b w:val="false"/>
          <w:color w:val="212529"/>
          <w:sz w:val="20"/>
        </w:rPr>
        <w:t>$0.3 million</w:t>
      </w:r>
      <w:r>
        <w:rPr>
          <w:color w:val="000000"/>
        </w:rPr>
        <w:t xml:space="preserve"> </w:t>
      </w:r>
      <w:r>
        <w:rPr>
          <w:rFonts w:ascii="Times New Roman;serif" w:hAnsi="Times New Roman;serif"/>
          <w:b w:val="false"/>
          <w:color w:val="000000"/>
          <w:sz w:val="20"/>
        </w:rPr>
        <w:t>as compared to the same period in 2025. The Company incurred severance expense of $0.4 million and $1.4 million for the three months ended March 31, 2026 and 2025, respectively. In addition, the decrease was partially offset by increased medical insurance expense.</w:t>
      </w:r>
    </w:p>
    <w:p>
      <w:pPr>
        <w:pStyle w:val="TextBody"/>
        <w:bidi w:val="0"/>
        <w:spacing w:lineRule="auto" w:line="288" w:before="240" w:after="240"/>
        <w:ind w:left="0" w:right="0" w:firstLine="720"/>
        <w:jc w:val="left"/>
        <w:rPr/>
      </w:pPr>
      <w:r>
        <w:rPr>
          <w:rFonts w:ascii="Times New Roman;serif" w:hAnsi="Times New Roman;serif"/>
          <w:b w:val="false"/>
          <w:i/>
          <w:color w:val="000000"/>
          <w:sz w:val="20"/>
        </w:rPr>
        <w:t xml:space="preserve">FDIC insurance expense. </w:t>
      </w:r>
      <w:r>
        <w:rPr>
          <w:rFonts w:ascii="Times New Roman;serif" w:hAnsi="Times New Roman;serif"/>
          <w:b w:val="false"/>
          <w:color w:val="000000"/>
          <w:sz w:val="20"/>
        </w:rPr>
        <w:t>The decrease in FDIC insurance expense for the three months ended March 31, 2026, as compared to the same period of 2025 was due to a lower assessment base in the first quarter of 2026, a shift in loan mix due to the sale of the equipment finance and non-core loan portfolios in 2025, and the decline in nonperforming loans.</w:t>
      </w:r>
    </w:p>
    <w:p>
      <w:pPr>
        <w:pStyle w:val="TextBody"/>
        <w:bidi w:val="0"/>
        <w:spacing w:lineRule="auto" w:line="288" w:before="240" w:after="240"/>
        <w:ind w:left="0" w:right="0" w:firstLine="720"/>
        <w:jc w:val="left"/>
        <w:rPr/>
      </w:pPr>
      <w:r>
        <w:rPr>
          <w:rFonts w:ascii="Times New Roman;serif" w:hAnsi="Times New Roman;serif"/>
          <w:b w:val="false"/>
          <w:i/>
          <w:color w:val="000000"/>
          <w:sz w:val="20"/>
        </w:rPr>
        <w:t>Professional services expense.</w:t>
      </w:r>
      <w:r>
        <w:rPr>
          <w:color w:val="000000"/>
        </w:rPr>
        <w:t xml:space="preserve"> </w:t>
      </w:r>
      <w:r>
        <w:rPr>
          <w:rFonts w:ascii="Times New Roman;serif" w:hAnsi="Times New Roman;serif"/>
          <w:b w:val="false"/>
          <w:color w:val="000000"/>
          <w:sz w:val="20"/>
        </w:rPr>
        <w:t xml:space="preserve">For the three months ended March 31, 2026, professional services expense decreased </w:t>
      </w:r>
      <w:r>
        <w:rPr>
          <w:rFonts w:ascii="Times New Roman;serif" w:hAnsi="Times New Roman;serif"/>
          <w:b w:val="false"/>
          <w:color w:val="212529"/>
          <w:sz w:val="20"/>
        </w:rPr>
        <w:t>$0.5 million</w:t>
      </w:r>
      <w:r>
        <w:rPr>
          <w:color w:val="000000"/>
        </w:rPr>
        <w:t xml:space="preserve"> </w:t>
      </w:r>
      <w:r>
        <w:rPr>
          <w:rFonts w:ascii="Times New Roman;serif" w:hAnsi="Times New Roman;serif"/>
          <w:b w:val="false"/>
          <w:color w:val="000000"/>
          <w:sz w:val="20"/>
        </w:rPr>
        <w:t>as compared to the same period in 2025. The Company incurred additional audit and consulting expenses in 2025 as a result of the restatements of prior years' financial statements and as a result of contractual changes in the Company's third-party lending and servicing arrangements.</w:t>
      </w:r>
    </w:p>
    <w:p>
      <w:pPr>
        <w:pStyle w:val="TextBody"/>
        <w:bidi w:val="0"/>
        <w:spacing w:lineRule="auto" w:line="288" w:before="240" w:after="240"/>
        <w:ind w:left="0" w:right="0" w:firstLine="720"/>
        <w:jc w:val="left"/>
        <w:rPr/>
      </w:pPr>
      <w:r>
        <w:rPr>
          <w:rFonts w:ascii="Times New Roman;serif" w:hAnsi="Times New Roman;serif"/>
          <w:b w:val="false"/>
          <w:i/>
          <w:color w:val="000000"/>
          <w:sz w:val="20"/>
        </w:rPr>
        <w:t>Marketing expense.</w:t>
      </w:r>
      <w:r>
        <w:rPr>
          <w:color w:val="000000"/>
        </w:rPr>
        <w:t xml:space="preserve"> </w:t>
      </w:r>
      <w:r>
        <w:rPr>
          <w:rFonts w:ascii="Times New Roman;serif" w:hAnsi="Times New Roman;serif"/>
          <w:b w:val="false"/>
          <w:color w:val="000000"/>
          <w:sz w:val="20"/>
        </w:rPr>
        <w:t>The increase in marketing expense for the three months ended March 31, 2026, as compared to the same period of 2025, was primarily the result of increased brand marketing and program expenses related to deposit account acquisition.</w:t>
      </w:r>
    </w:p>
    <w:p>
      <w:pPr>
        <w:pStyle w:val="TextBody"/>
        <w:bidi w:val="0"/>
        <w:spacing w:lineRule="auto" w:line="288" w:before="240" w:after="240"/>
        <w:ind w:left="0" w:right="0" w:firstLine="720"/>
        <w:jc w:val="left"/>
        <w:rPr/>
      </w:pPr>
      <w:r>
        <w:rPr>
          <w:rFonts w:ascii="Times New Roman;serif" w:hAnsi="Times New Roman;serif"/>
          <w:b w:val="false"/>
          <w:i/>
          <w:color w:val="000000"/>
          <w:sz w:val="20"/>
        </w:rPr>
        <w:t xml:space="preserve">Loan expense. </w:t>
      </w:r>
      <w:r>
        <w:rPr>
          <w:rFonts w:ascii="Times New Roman;serif" w:hAnsi="Times New Roman;serif"/>
          <w:b w:val="false"/>
          <w:color w:val="000000"/>
          <w:sz w:val="20"/>
        </w:rPr>
        <w:t>Effective December 31, 2025, the Company modified its third-party lending and servicing arrangements with its sole partner, whereby the Company pays credit insurance to the program sponsor in exchange for the sponsor to reimburse the Company for incurred loan losses. Incurred losses are recognized as loans are charged-off through the allowance for credit losses. Reimbursements of incurred losses are recognized as a reduction of our credit enhancement asset. Credit insurance expense totaled $2.2 million in the first quarter of 2026.</w:t>
      </w:r>
    </w:p>
    <w:p>
      <w:pPr>
        <w:pStyle w:val="TextBody"/>
        <w:bidi w:val="0"/>
        <w:spacing w:lineRule="auto" w:line="288" w:before="240" w:after="240"/>
        <w:ind w:left="0" w:right="0" w:firstLine="720"/>
        <w:jc w:val="left"/>
        <w:rPr/>
      </w:pPr>
      <w:r>
        <w:rPr>
          <w:rFonts w:ascii="Times New Roman;serif" w:hAnsi="Times New Roman;serif"/>
          <w:b w:val="false"/>
          <w:i/>
          <w:color w:val="000000"/>
          <w:sz w:val="20"/>
        </w:rPr>
        <w:t xml:space="preserve">Impairment on goodwill. </w:t>
      </w:r>
      <w:r>
        <w:rPr>
          <w:rFonts w:ascii="Times New Roman;serif" w:hAnsi="Times New Roman;serif"/>
          <w:b w:val="false"/>
          <w:color w:val="000000"/>
          <w:sz w:val="20"/>
        </w:rPr>
        <w:t>As mentioned previously, the Company recognized $154.0 million of goodwill impairment expense during the first quarter of 2025 in its Banking reporting unit.</w:t>
      </w:r>
    </w:p>
    <w:p>
      <w:pPr>
        <w:pStyle w:val="TextBody"/>
        <w:bidi w:val="0"/>
        <w:spacing w:lineRule="auto" w:line="288" w:before="240" w:after="240"/>
        <w:ind w:left="0" w:right="0" w:firstLine="720"/>
        <w:jc w:val="left"/>
        <w:rPr/>
      </w:pPr>
      <w:r>
        <w:rPr>
          <w:rFonts w:ascii="Times New Roman;serif" w:hAnsi="Times New Roman;serif"/>
          <w:b/>
          <w:i/>
          <w:color w:val="000000"/>
          <w:sz w:val="20"/>
        </w:rPr>
        <w:t xml:space="preserve">Income Tax Expense. </w:t>
      </w:r>
      <w:r>
        <w:rPr>
          <w:rFonts w:ascii="Times New Roman;serif" w:hAnsi="Times New Roman;serif"/>
          <w:b w:val="false"/>
          <w:color w:val="000000"/>
          <w:sz w:val="20"/>
        </w:rPr>
        <w:t xml:space="preserve">Income tax expense was </w:t>
      </w:r>
      <w:r>
        <w:rPr>
          <w:rFonts w:ascii="Times New Roman;serif" w:hAnsi="Times New Roman;serif"/>
          <w:b w:val="false"/>
          <w:color w:val="212529"/>
          <w:sz w:val="20"/>
        </w:rPr>
        <w:t>$5.6 million</w:t>
      </w:r>
      <w:r>
        <w:rPr>
          <w:color w:val="000000"/>
        </w:rPr>
        <w:t xml:space="preserve"> </w:t>
      </w:r>
      <w:r>
        <w:rPr>
          <w:rFonts w:ascii="Times New Roman;serif" w:hAnsi="Times New Roman;serif"/>
          <w:b w:val="false"/>
          <w:color w:val="000000"/>
          <w:sz w:val="20"/>
        </w:rPr>
        <w:t xml:space="preserve">for the three months ended March 31, 2026, as compared to </w:t>
      </w:r>
      <w:r>
        <w:rPr>
          <w:rFonts w:ascii="Times New Roman;serif" w:hAnsi="Times New Roman;serif"/>
          <w:b w:val="false"/>
          <w:color w:val="212529"/>
          <w:sz w:val="20"/>
        </w:rPr>
        <w:t>$3.2 million</w:t>
      </w:r>
      <w:r>
        <w:rPr>
          <w:color w:val="000000"/>
        </w:rPr>
        <w:t xml:space="preserve"> </w:t>
      </w:r>
      <w:r>
        <w:rPr>
          <w:rFonts w:ascii="Times New Roman;serif" w:hAnsi="Times New Roman;serif"/>
          <w:b w:val="false"/>
          <w:color w:val="000000"/>
          <w:sz w:val="20"/>
        </w:rPr>
        <w:t>for the three months ended March 31, 2025. The resulting effective tax rates were 23.4% and 19.6% for the three months ended March 31, 2026 and 2025, respectively. The effective tax rate calculation for the three months ended March 31, 2025, excludes the goodwill impairment charge of $154.0 million, as this item is not deductible for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0" w:after="240"/>
        <w:ind w:left="0" w:right="0" w:firstLine="720"/>
        <w:jc w:val="left"/>
        <w:rPr/>
      </w:pPr>
      <w:r>
        <w:rPr>
          <w:rFonts w:ascii="Times New Roman;serif" w:hAnsi="Times New Roman;serif"/>
          <w:b/>
          <w:i/>
          <w:color w:val="000000"/>
          <w:sz w:val="20"/>
        </w:rPr>
        <w:t>Assets.</w:t>
      </w:r>
      <w:r>
        <w:rPr>
          <w:color w:val="000000"/>
        </w:rPr>
        <w:t xml:space="preserve"> </w:t>
      </w:r>
      <w:r>
        <w:rPr>
          <w:rFonts w:ascii="Times New Roman;serif" w:hAnsi="Times New Roman;serif"/>
          <w:b w:val="false"/>
          <w:color w:val="000000"/>
          <w:sz w:val="20"/>
        </w:rPr>
        <w:t>Total assets were $6.55 billion at March 31, 2026, as compared to $6.51 billion at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pPr>
      <w:r>
        <w:rPr>
          <w:rFonts w:ascii="Times New Roman;serif" w:hAnsi="Times New Roman;serif"/>
          <w:b/>
          <w:i/>
          <w:color w:val="000000"/>
          <w:sz w:val="20"/>
        </w:rPr>
        <w:t>Loans.</w:t>
      </w:r>
      <w:r>
        <w:rPr>
          <w:color w:val="000000"/>
        </w:rPr>
        <w:t xml:space="preserve"> </w:t>
      </w:r>
      <w:r>
        <w:rPr>
          <w:rFonts w:ascii="Times New Roman;serif" w:hAnsi="Times New Roman;serif"/>
          <w:b w:val="false"/>
          <w:color w:val="000000"/>
          <w:sz w:val="20"/>
        </w:rPr>
        <w:t>The loan portfolio is the largest category of our assets. The principal segments of our loan portfolio are discussed below:</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Commercial loans.</w:t>
      </w:r>
      <w:r>
        <w:rPr>
          <w:color w:val="000000"/>
        </w:rPr>
        <w:t xml:space="preserve"> </w:t>
      </w:r>
      <w:r>
        <w:rPr>
          <w:rFonts w:ascii="Times New Roman;serif" w:hAnsi="Times New Roman;serif"/>
          <w:b w:val="false"/>
          <w:color w:val="000000"/>
          <w:sz w:val="20"/>
        </w:rPr>
        <w:t>We provide a mix of variable and fixed rate commercial loans. The loans are typically made to small and medium-sized manufacturing, wholesale, retail and service businesses for working capital needs, business expansions and farm operations. Commercial loans generally include lines of credit and loans with maturities of five years or less. The loans are generally made with business operations as the primary source of repayment, but may also include collateralization by inventory, accounts receivable and equipment, and generally include personal guarantees. The commercial loan category also includes loans originated by the equipment financing business that are secured by the underlying equipment, of which we sold substantially all of our equipment finance portfolio during the fourth quarter of 2025.</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Commercial real estate loans.</w:t>
      </w:r>
      <w:r>
        <w:rPr>
          <w:color w:val="000000"/>
        </w:rPr>
        <w:t xml:space="preserve"> </w:t>
      </w:r>
      <w:r>
        <w:rPr>
          <w:rFonts w:ascii="Times New Roman;serif" w:hAnsi="Times New Roman;serif"/>
          <w:b w:val="false"/>
          <w:color w:val="000000"/>
          <w:sz w:val="20"/>
        </w:rPr>
        <w:t xml:space="preserve">Our commercial real estate loans consist of both real estate occupied by the borrower for ongoing operations and non-owner occupied real estate properties. The real estate securing our existing commercial real estate loans includes a wide variety of property types, such as owner occupied offices, warehouses and production facilities, office buildings, hotels, mixed-use residential and commercial facilities, retail centers, multifamily properties, skilled nursing and assisted living facilities. Our commercial real estate loan portfolio also includes farmland loans. Farmland loans are generally made to a borrower actively involved in farming rather than to passive investors. </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Construction and land development loans.</w:t>
      </w:r>
      <w:r>
        <w:rPr>
          <w:color w:val="000000"/>
        </w:rPr>
        <w:t xml:space="preserve"> </w:t>
      </w:r>
      <w:r>
        <w:rPr>
          <w:rFonts w:ascii="Times New Roman;serif" w:hAnsi="Times New Roman;serif"/>
          <w:b w:val="false"/>
          <w:color w:val="000000"/>
          <w:sz w:val="20"/>
        </w:rPr>
        <w:t>Our construction and land development loans are comprised of residential construction, commercial construction and land acquisition and development loans. Interest reserves are generally established on real estate construction loans.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Residential real estate loans.</w:t>
      </w:r>
      <w:r>
        <w:rPr>
          <w:color w:val="000000"/>
        </w:rPr>
        <w:t xml:space="preserve"> </w:t>
      </w:r>
      <w:r>
        <w:rPr>
          <w:rFonts w:ascii="Times New Roman;serif" w:hAnsi="Times New Roman;serif"/>
          <w:b w:val="false"/>
          <w:color w:val="000000"/>
          <w:sz w:val="20"/>
        </w:rPr>
        <w:t>Our residential real estate loans are loans secured by residential properties that generally do not qualify for secondary market sale.</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Consumer loans.</w:t>
      </w:r>
      <w:r>
        <w:rPr>
          <w:color w:val="000000"/>
        </w:rPr>
        <w:t xml:space="preserve"> </w:t>
      </w:r>
      <w:r>
        <w:rPr>
          <w:rFonts w:ascii="Times New Roman;serif" w:hAnsi="Times New Roman;serif"/>
          <w:b w:val="false"/>
          <w:color w:val="000000"/>
          <w:sz w:val="20"/>
        </w:rPr>
        <w:t>Our consumer loans include direct personal loans, indirect automobile loans, lines of credit and installment loans originated through home improvement specialty retailers and contractors. Personal loans are generally secured by automobiles, boats and other types of personal property and are made on an installment basis.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Lease financing.</w:t>
      </w:r>
      <w:r>
        <w:rPr>
          <w:color w:val="000000"/>
        </w:rPr>
        <w:t xml:space="preserve"> </w:t>
      </w:r>
      <w:r>
        <w:rPr>
          <w:rFonts w:ascii="Times New Roman;serif" w:hAnsi="Times New Roman;serif"/>
          <w:b w:val="false"/>
          <w:color w:val="000000"/>
          <w:sz w:val="20"/>
        </w:rPr>
        <w:t>Our equipment leasing business provides financing leases to varying types of businesses nationwide for purchases of business equipment and software. The financing is secured by a first priority interest in the financed asset and generally requires monthly payments. As previously disclosed, we ceased originating new equipment finance loans and leases effective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and associated percentage of each major category in our loan portfolio at March 31, 2026 and December 31, 2025:</w:t>
      </w:r>
    </w:p>
    <w:tbl>
      <w:tblPr>
        <w:tblW w:w="7582" w:type="dxa"/>
        <w:jc w:val="left"/>
        <w:tblInd w:w="0" w:type="dxa"/>
        <w:tblLayout w:type="fixed"/>
        <w:tblCellMar>
          <w:top w:w="28" w:type="dxa"/>
          <w:left w:w="28" w:type="dxa"/>
          <w:bottom w:w="28" w:type="dxa"/>
          <w:right w:w="28" w:type="dxa"/>
        </w:tblCellMar>
      </w:tblPr>
      <w:tblGrid>
        <w:gridCol w:w="945"/>
        <w:gridCol w:w="831"/>
        <w:gridCol w:w="834"/>
        <w:gridCol w:w="196"/>
        <w:gridCol w:w="871"/>
        <w:gridCol w:w="109"/>
        <w:gridCol w:w="109"/>
        <w:gridCol w:w="109"/>
        <w:gridCol w:w="109"/>
        <w:gridCol w:w="278"/>
        <w:gridCol w:w="278"/>
        <w:gridCol w:w="241"/>
        <w:gridCol w:w="109"/>
        <w:gridCol w:w="109"/>
        <w:gridCol w:w="109"/>
        <w:gridCol w:w="196"/>
        <w:gridCol w:w="871"/>
        <w:gridCol w:w="109"/>
        <w:gridCol w:w="109"/>
        <w:gridCol w:w="109"/>
        <w:gridCol w:w="109"/>
        <w:gridCol w:w="278"/>
        <w:gridCol w:w="278"/>
        <w:gridCol w:w="286"/>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gross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on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loans decreased $13.4 million, or 0.3%, to $4.34 billion at March 31, 2026, compared to December 31, 2025. The portfolio mix remained stable during the first quarter of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our outstanding loans by business sector at March 31, 2026 and December 31, 2025. The Company's loan portfolio is assigned to the following internal business sectors:</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Community bank</w:t>
      </w:r>
      <w:r>
        <w:rPr>
          <w:color w:val="000000"/>
        </w:rPr>
        <w:t xml:space="preserve"> </w:t>
      </w:r>
      <w:r>
        <w:rPr>
          <w:rFonts w:ascii="Times New Roman;serif" w:hAnsi="Times New Roman;serif"/>
          <w:b w:val="false"/>
          <w:color w:val="000000"/>
          <w:sz w:val="20"/>
        </w:rPr>
        <w:t>represents predominately in-market loans originated through our banking center network.</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 xml:space="preserve">Specialty finance </w:t>
      </w:r>
      <w:r>
        <w:rPr>
          <w:rFonts w:ascii="Times New Roman;serif" w:hAnsi="Times New Roman;serif"/>
          <w:b w:val="false"/>
          <w:color w:val="000000"/>
          <w:sz w:val="20"/>
        </w:rPr>
        <w:t>provides bridge loan financing for commercial real estate projects, primarily multi-family and healthcare. These projects can include construction and short term financing in anticipation of obtaining permanent secondary market financing. The loans are typically outside of the Company’s primary market areas.</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Non-core and other</w:t>
      </w:r>
      <w:r>
        <w:rPr>
          <w:color w:val="000000"/>
        </w:rPr>
        <w:t xml:space="preserve"> </w:t>
      </w:r>
      <w:r>
        <w:rPr>
          <w:rFonts w:ascii="Times New Roman;serif" w:hAnsi="Times New Roman;serif"/>
          <w:b w:val="false"/>
          <w:color w:val="000000"/>
          <w:sz w:val="20"/>
        </w:rPr>
        <w:t xml:space="preserve">includes our third-party origination and servicing programs, our equipment finance portfolio of loans and leases originated to varying types of businesses throughout the United States for purchases of business equipment and software and capital market credits, including loans to finance the sale of the GreenSky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tbl>
      <w:tblPr>
        <w:tblW w:w="9462" w:type="dxa"/>
        <w:jc w:val="left"/>
        <w:tblInd w:w="0" w:type="dxa"/>
        <w:tblLayout w:type="fixed"/>
        <w:tblCellMar>
          <w:top w:w="28" w:type="dxa"/>
          <w:left w:w="28" w:type="dxa"/>
          <w:bottom w:w="28" w:type="dxa"/>
          <w:right w:w="28" w:type="dxa"/>
        </w:tblCellMar>
      </w:tblPr>
      <w:tblGrid>
        <w:gridCol w:w="939"/>
        <w:gridCol w:w="826"/>
        <w:gridCol w:w="829"/>
        <w:gridCol w:w="227"/>
        <w:gridCol w:w="1012"/>
        <w:gridCol w:w="126"/>
        <w:gridCol w:w="109"/>
        <w:gridCol w:w="109"/>
        <w:gridCol w:w="109"/>
        <w:gridCol w:w="251"/>
        <w:gridCol w:w="945"/>
        <w:gridCol w:w="139"/>
        <w:gridCol w:w="109"/>
        <w:gridCol w:w="109"/>
        <w:gridCol w:w="109"/>
        <w:gridCol w:w="109"/>
        <w:gridCol w:w="109"/>
        <w:gridCol w:w="109"/>
        <w:gridCol w:w="109"/>
        <w:gridCol w:w="288"/>
        <w:gridCol w:w="1082"/>
        <w:gridCol w:w="160"/>
        <w:gridCol w:w="109"/>
        <w:gridCol w:w="109"/>
        <w:gridCol w:w="109"/>
        <w:gridCol w:w="196"/>
        <w:gridCol w:w="87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7"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221" w:type="dxa"/>
            <w:gridSpan w:val="3"/>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Community bank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 finance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Non-core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728,215 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261,247 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2,007,309 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339,478 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3,396,977 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613,514 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328,082 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7"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221" w:type="dxa"/>
            <w:gridSpan w:val="3"/>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Community bank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 finance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Non-core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688,277 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248,112 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242,132 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1,979,383 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3,328,227 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668,183 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355,594 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Community bank portfolio increased $68.8 million, or 2.1%, between December 31, 2025 and March 31, 2026. This growth partially offset the anticipated declines in the specialty finance and non-core and other business sectors of $54.7 million and $27.5 million, respectively.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contractual maturities of our loan portfolio and the distribution between fixed and adjustable interest rate loans at March 31, 2026:</w:t>
      </w:r>
    </w:p>
    <w:tbl>
      <w:tblPr>
        <w:tblW w:w="13921" w:type="dxa"/>
        <w:jc w:val="center"/>
        <w:tblInd w:w="0" w:type="dxa"/>
        <w:tblLayout w:type="fixed"/>
        <w:tblCellMar>
          <w:top w:w="28" w:type="dxa"/>
          <w:left w:w="28" w:type="dxa"/>
          <w:bottom w:w="28" w:type="dxa"/>
          <w:right w:w="28" w:type="dxa"/>
        </w:tblCellMar>
      </w:tblPr>
      <w:tblGrid>
        <w:gridCol w:w="587"/>
        <w:gridCol w:w="516"/>
        <w:gridCol w:w="518"/>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Within 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One Year to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Five Years to 15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 15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Adjustable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Adjustable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Adjustable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Adjustable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2,322,198 </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471,713 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723,331 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1,147,822 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541,299 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455,114 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416,660 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3,815,178 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499,701 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730,467 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1,256,977 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518,163 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459,459 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Loan Quality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what we believe is a comprehensive methodology to monitor credit quality and prudently manage credit concentration within our loan portfolio. Our underwriting policies and practices govern the risk profile, credit and geographic concentration for our loan portfolio. We also have what we believe to be a comprehensive methodology to monitor these credit quality standards, including a risk classification system that identifies potential problem loans based on risk characteristics by loan type as well as the early identification of deterioration at the individual loan level. </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Analysis of the Allowance for Credit Losses on Loans.</w:t>
      </w:r>
      <w:r>
        <w:rPr>
          <w:color w:val="000000"/>
        </w:rPr>
        <w:t xml:space="preserve"> </w:t>
      </w:r>
      <w:r>
        <w:rPr>
          <w:rFonts w:ascii="Times New Roman;serif" w:hAnsi="Times New Roman;serif"/>
          <w:b w:val="false"/>
          <w:color w:val="000000"/>
          <w:sz w:val="20"/>
        </w:rPr>
        <w:t xml:space="preserve">The allowance for credit losses on loans was $67.9 million, or 1.56% of total loans, at March 31, 2026, compared to $69.2 million, or 1.59% of total loans, at December 31,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table allocates the allowance for credit losses on loans by loan category:</w:t>
      </w:r>
    </w:p>
    <w:tbl>
      <w:tblPr>
        <w:tblW w:w="8138" w:type="dxa"/>
        <w:jc w:val="left"/>
        <w:tblInd w:w="0" w:type="dxa"/>
        <w:tblLayout w:type="fixed"/>
        <w:tblCellMar>
          <w:top w:w="28" w:type="dxa"/>
          <w:left w:w="28" w:type="dxa"/>
          <w:bottom w:w="28" w:type="dxa"/>
          <w:right w:w="28" w:type="dxa"/>
        </w:tblCellMar>
      </w:tblPr>
      <w:tblGrid>
        <w:gridCol w:w="1075"/>
        <w:gridCol w:w="946"/>
        <w:gridCol w:w="949"/>
        <w:gridCol w:w="196"/>
        <w:gridCol w:w="646"/>
        <w:gridCol w:w="109"/>
        <w:gridCol w:w="109"/>
        <w:gridCol w:w="109"/>
        <w:gridCol w:w="109"/>
        <w:gridCol w:w="233"/>
        <w:gridCol w:w="233"/>
        <w:gridCol w:w="436"/>
        <w:gridCol w:w="109"/>
        <w:gridCol w:w="109"/>
        <w:gridCol w:w="109"/>
        <w:gridCol w:w="196"/>
        <w:gridCol w:w="646"/>
        <w:gridCol w:w="109"/>
        <w:gridCol w:w="109"/>
        <w:gridCol w:w="109"/>
        <w:gridCol w:w="109"/>
        <w:gridCol w:w="233"/>
        <w:gridCol w:w="233"/>
        <w:gridCol w:w="436"/>
        <w:gridCol w:w="109"/>
        <w:gridCol w:w="109"/>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217" w:type="dxa"/>
            <w:gridSpan w:val="22"/>
            <w:tcBorders/>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710" w:type="dxa"/>
            <w:gridSpan w:val="10"/>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Percent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Percent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allowance for credit losses on loans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the percentage of the allowance to total loans in the respective category.</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measure expected credit losses over the life of each loan utilizing a combination of models which measure probability of default and loss given default, among other things. The measurement of expected credit losses is impacted by loan and borrower attributes and certain macroeconomic variables. Models are adjusted to reflect the impact of certain current macroeconomic variables as well as their expected changes over a reasonable and supportable forecast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estimating expected credit losses as of March 31, 2026, we utilized certain forecasted macroeconomic variables from Oxford Economics in our models. The forecasted projections included, among other things, (i) U.S. gross domestic product ranging from 1.9% to 2.4% over the next four quarters; (ii) the 10-year treasury rate averaging 4.2% over the next four quarters; and (iii) Illinois unemployment rate averaging 4.7% through the first quarter of 2027.</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qualitatively adjust the model results based on this scenario for various risk factors that are not considered within our modeling processes but are nonetheless relevant in assessing the expected credit losses within our loan pools. These Q-Factor adjustments are based upon management judgment and current assessment as to the impact of risks related to changes in lending policies and procedures; economic and business conditions; loan portfolio attributes and credit concentrations; and external factors, among other things, that are not already fully captured within the modeling inputs, assumptions and other processes. Management assesses the potential impact of such items within a range of severely negative impact to positive impact and adjusts the modeled expected credit loss by an aggregate adjustment percentage based upon the assessment. The qualitative factor adjustment at March 31, 2026, was approximately 55 basis points of total loans, decreasing slightly from 57 basis points at December 31, 2025.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allowance allocated to commercial loans totaled $24.6 million, or 2.02% of total commercial loans, at March 31, 2026, compared to $23.7 million, or 2.01%, at December 31, 2025. Outstanding loan balances increased $38.0 million, or 3.2%, during the first three months of 2026. Specific allocations for loans that were individually evaluated increased $0.7 million, and quantitative factor adjustments increased $0.2 million.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allowance allocated to commercial real estate loans totaled $27.7 million, or 1.19% of total commercial real estate loans, at March 31, 2026, decreasing $0.6 million, from $28.3 million, or 1.21% of total commercial real estate loans, at December 31, 2025. Outstanding loan balances decreased $20.5 million, or 0.9%, during the first three months of 2026. Specific allocations for loans that were individually evaluated decreased $0.7 million. Modeled expected credit losses increased $0.7 million and qualitative factor adjustments decreased $0.6 million. The commercial real estate portfolio does not include significant exposure to urban office properties.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allowance allocated to construction and land development loans totaled $2.6 million, or 0.93% of total construction and land development loans, at March 31, 2026, compared to $2.6 million, or 0.92% of total constructions loans, at December 31, 2025. Modeled expected credit losses increased $0.1 million and qualitative factor adjustments related to construction loans decreased $0.1 million. There were no specific allocations for construction loans that were evaluated for expected credit losses on an individual basis at March 31, 2026, or December 31, 2025.</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allowance allocated to residential real estate loans totaled $6.2 million, or 1.80% of total residential real estate loans, at March 31, 2026, decreasing $0.5 million, from $6.7 million, or 1.90% of total residential real estate loans, at December 31, 2025. Modeled expected credit losses decreased $0.6 million and qualitative factor adjustments increased $0.1 million. There were no specific allocations for residential real estate loans that were evaluated for expected credit losses on an individual basis at March 31, 2026, or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allowance allocated to consumer loans totaled $4.2 million, or 3.11% of total consumer loans, at March 31, 2026, compared to $4.8 million, or 3.33%, at December 31, 2025. Modeled expected credit losses decreased $0.6 million.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allowance allocated to the lease portfolio totaled $2.7 million, or 6.10% of total commercial leases, at March 31, 2026, decreasing $0.5 million, from $3.2 million, or 6.25% of total commercial leases at December 31, 2025. Outstanding lease balances decreased $7.2 million, or 14.08%, during the first three months of 2026. The Company ceased originating leases as of September 30, 2025.</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an analysis of the allowance for credit losses on loans, provision for credit losses on loans and net charge-offs for the three months ended March 31, 2026 and 2025:</w:t>
      </w:r>
    </w:p>
    <w:tbl>
      <w:tblPr>
        <w:tblW w:w="6769" w:type="dxa"/>
        <w:jc w:val="center"/>
        <w:tblInd w:w="0" w:type="dxa"/>
        <w:tblLayout w:type="fixed"/>
        <w:tblCellMar>
          <w:top w:w="28" w:type="dxa"/>
          <w:left w:w="28" w:type="dxa"/>
          <w:bottom w:w="28" w:type="dxa"/>
          <w:right w:w="28" w:type="dxa"/>
        </w:tblCellMar>
      </w:tblPr>
      <w:tblGrid>
        <w:gridCol w:w="1053"/>
        <w:gridCol w:w="926"/>
        <w:gridCol w:w="930"/>
        <w:gridCol w:w="196"/>
        <w:gridCol w:w="871"/>
        <w:gridCol w:w="241"/>
        <w:gridCol w:w="109"/>
        <w:gridCol w:w="109"/>
        <w:gridCol w:w="109"/>
        <w:gridCol w:w="196"/>
        <w:gridCol w:w="871"/>
        <w:gridCol w:w="241"/>
        <w:gridCol w:w="109"/>
        <w:gridCol w:w="109"/>
        <w:gridCol w:w="109"/>
        <w:gridCol w:w="109"/>
        <w:gridCol w:w="109"/>
        <w:gridCol w:w="109"/>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charge-offs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recoveries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loans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105,176 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loans, end of period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4,338,573 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5,018,053 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total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4,254,321 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5,057,394 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 to average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to total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pPr>
      <w:r>
        <w:rPr>
          <w:rFonts w:ascii="Times New Roman;serif" w:hAnsi="Times New Roman;serif"/>
          <w:b w:val="false"/>
          <w:color w:val="000000"/>
          <w:sz w:val="20"/>
        </w:rPr>
        <w:t>Individual loans considered to be uncollectible are charged-off against the allowance. Factors used in determining the amount and timing of charge-offs on loans include consideration of the loan type, length of delinquency, sufficiency of collateral value, lien priority and the overall financial condition of the borrower. Collateral value is determined using updated appraisals and/or other market comparable information. Charge-offs are generally taken on loans when the collectability of a loan balance is unlikely. Recoveries on loans previously charged-off are added to the allowance.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charge-offs by business sector for the three months ended March 31, 2026 and 2025: </w:t>
      </w:r>
    </w:p>
    <w:tbl>
      <w:tblPr>
        <w:tblW w:w="9216" w:type="dxa"/>
        <w:jc w:val="left"/>
        <w:tblInd w:w="0" w:type="dxa"/>
        <w:tblLayout w:type="fixed"/>
        <w:tblCellMar>
          <w:top w:w="28" w:type="dxa"/>
          <w:left w:w="28" w:type="dxa"/>
          <w:bottom w:w="28" w:type="dxa"/>
          <w:right w:w="28" w:type="dxa"/>
        </w:tblCellMar>
      </w:tblPr>
      <w:tblGrid>
        <w:gridCol w:w="938"/>
        <w:gridCol w:w="827"/>
        <w:gridCol w:w="830"/>
        <w:gridCol w:w="309"/>
        <w:gridCol w:w="882"/>
        <w:gridCol w:w="174"/>
        <w:gridCol w:w="109"/>
        <w:gridCol w:w="109"/>
        <w:gridCol w:w="109"/>
        <w:gridCol w:w="368"/>
        <w:gridCol w:w="762"/>
        <w:gridCol w:w="205"/>
        <w:gridCol w:w="109"/>
        <w:gridCol w:w="109"/>
        <w:gridCol w:w="109"/>
        <w:gridCol w:w="315"/>
        <w:gridCol w:w="1040"/>
        <w:gridCol w:w="175"/>
        <w:gridCol w:w="109"/>
        <w:gridCol w:w="109"/>
        <w:gridCol w:w="109"/>
        <w:gridCol w:w="277"/>
        <w:gridCol w:w="915"/>
        <w:gridCol w:w="218"/>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Community bank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 finance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Non-core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charge-offs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Community bank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 finance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Non-core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charge-offs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Charge-offs for the three months ended March 31, 2026 were $7.6 million, compared to $18.0 million for the three months ended March 31, 2025. Commercial real estate charge-offs in the first quarter of 2026 included $2.6 million related to a loan that was moved to held for sale in the quarter. The Company expects this note sale to close in the second quarter of 2026. In the first quarter of 2025, non-core commercial loan charge-offs included $11.1 million related to a third-party loan program, and $2.1 million related to our equipment finance portfolio.</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 xml:space="preserve">Nonperforming Loans. </w:t>
      </w:r>
      <w:r>
        <w:rPr>
          <w:rFonts w:ascii="Times New Roman;serif" w:hAnsi="Times New Roman;serif"/>
          <w:b w:val="false"/>
          <w:color w:val="000000"/>
          <w:sz w:val="20"/>
        </w:rPr>
        <w:t xml:space="preserve">The following table sets forth our nonperforming assets by asset category as of the dates presented. Nonperforming loans include nonaccrual loans and loans past due 90 days or more and still accruing interest. The balance of nonperforming loans reflect the net investment in these assets. </w:t>
      </w:r>
    </w:p>
    <w:tbl>
      <w:tblPr>
        <w:tblW w:w="7055" w:type="dxa"/>
        <w:jc w:val="center"/>
        <w:tblInd w:w="0" w:type="dxa"/>
        <w:tblLayout w:type="fixed"/>
        <w:tblCellMar>
          <w:top w:w="28" w:type="dxa"/>
          <w:left w:w="28" w:type="dxa"/>
          <w:bottom w:w="28" w:type="dxa"/>
          <w:right w:w="28" w:type="dxa"/>
        </w:tblCellMar>
      </w:tblPr>
      <w:tblGrid>
        <w:gridCol w:w="1341"/>
        <w:gridCol w:w="1180"/>
        <w:gridCol w:w="1184"/>
        <w:gridCol w:w="228"/>
        <w:gridCol w:w="752"/>
        <w:gridCol w:w="280"/>
        <w:gridCol w:w="109"/>
        <w:gridCol w:w="109"/>
        <w:gridCol w:w="109"/>
        <w:gridCol w:w="271"/>
        <w:gridCol w:w="895"/>
        <w:gridCol w:w="334"/>
        <w:gridCol w:w="109"/>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2090" w:type="dxa"/>
            <w:gridSpan w:val="8"/>
            <w:tcBorders/>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45,333 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nonperforming loans</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58,791 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65,483 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 and other repossessed assets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59,305 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66,089 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 to total loans</w:t>
            </w:r>
          </w:p>
        </w:tc>
        <w:tc>
          <w:tcPr>
            <w:tcW w:w="9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3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assets to total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to nonperforming loans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115.45 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105.71 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Company prioritized improving its credit quality by tightening its loan underwriting standards and pursuing opportunities to resolve nonperforming loans, which included the sale of specific loans or portfolios.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ceased originations of new construction loans included in our Specialty finance portfolio in the fourth quarter of 2024. In the third quarter of 2025, the Company ceased originations in the equipment finance portfolio, selling substantially all of the portfolio during the fourth quarter of 2025. These actions are reflected in the continued reduction of nonperforming loans. Nonperforming loans decreased to $58.8 million, or 1.36% of total loans, at March 31, 2026, compared to $65.5 million, or 1.50% of total loans at December 31, 2025.</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recognize interest income on nonaccrual loans during the three months ended March 31, 2026 or 2025 while the loans were in nonaccrual status. </w:t>
      </w:r>
    </w:p>
    <w:p>
      <w:pPr>
        <w:pStyle w:val="TextBody"/>
        <w:bidi w:val="0"/>
        <w:spacing w:lineRule="auto" w:line="288" w:before="240" w:after="240"/>
        <w:ind w:left="0" w:right="0" w:firstLine="720"/>
        <w:jc w:val="left"/>
        <w:rPr/>
      </w:pPr>
      <w:r>
        <w:rPr>
          <w:rFonts w:ascii="Times New Roman;serif" w:hAnsi="Times New Roman;serif"/>
          <w:b/>
          <w:i/>
          <w:color w:val="000000"/>
          <w:sz w:val="20"/>
        </w:rPr>
        <w:t>Investment Securities.</w:t>
      </w:r>
      <w:r>
        <w:rPr>
          <w:color w:val="000000"/>
        </w:rPr>
        <w:t xml:space="preserve"> </w:t>
      </w:r>
      <w:r>
        <w:rPr>
          <w:rFonts w:ascii="Times New Roman;serif" w:hAnsi="Times New Roman;serif"/>
          <w:b w:val="false"/>
          <w:color w:val="000000"/>
          <w:sz w:val="20"/>
        </w:rPr>
        <w:t>Our investment strategy aims to maximize earnings while maintaining liquidity in securities with minimal credit risk. The types and maturities of securities purchased are primarily based on our current and projected liquidity and interest rate sensitivity positions. In the periods presented, all investment securities of the Company are classified as available for sale and, therefore, the book value of investment securities is equal to the fair market value.</w:t>
      </w:r>
    </w:p>
    <w:p>
      <w:pPr>
        <w:pStyle w:val="TextBody"/>
        <w:bidi w:val="0"/>
        <w:spacing w:lineRule="auto" w:line="288" w:before="24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book value and percentage of each category of investment securities at March 31, 2026 and December 31, 2025:</w:t>
      </w:r>
    </w:p>
    <w:tbl>
      <w:tblPr>
        <w:tblW w:w="10064" w:type="dxa"/>
        <w:jc w:val="center"/>
        <w:tblInd w:w="0" w:type="dxa"/>
        <w:tblLayout w:type="fixed"/>
        <w:tblCellMar>
          <w:top w:w="28" w:type="dxa"/>
          <w:left w:w="28" w:type="dxa"/>
          <w:bottom w:w="28" w:type="dxa"/>
          <w:right w:w="28" w:type="dxa"/>
        </w:tblCellMar>
      </w:tblPr>
      <w:tblGrid>
        <w:gridCol w:w="1607"/>
        <w:gridCol w:w="1414"/>
        <w:gridCol w:w="1419"/>
        <w:gridCol w:w="196"/>
        <w:gridCol w:w="871"/>
        <w:gridCol w:w="109"/>
        <w:gridCol w:w="109"/>
        <w:gridCol w:w="109"/>
        <w:gridCol w:w="109"/>
        <w:gridCol w:w="278"/>
        <w:gridCol w:w="278"/>
        <w:gridCol w:w="349"/>
        <w:gridCol w:w="109"/>
        <w:gridCol w:w="109"/>
        <w:gridCol w:w="109"/>
        <w:gridCol w:w="196"/>
        <w:gridCol w:w="871"/>
        <w:gridCol w:w="109"/>
        <w:gridCol w:w="109"/>
        <w:gridCol w:w="109"/>
        <w:gridCol w:w="109"/>
        <w:gridCol w:w="278"/>
        <w:gridCol w:w="278"/>
        <w:gridCol w:w="349"/>
        <w:gridCol w:w="109"/>
        <w:gridCol w:w="109"/>
        <w:gridCol w:w="109"/>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4448" w:type="dxa"/>
            <w:gridSpan w:val="22"/>
            <w:tcBorders/>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713" w:type="dxa"/>
            <w:gridSpan w:val="10"/>
            <w:tcBorders/>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 available for sale:</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sponsored entities and U.S.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agency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student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municipal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loan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securities, available for sale,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book value, maturities and weighted average yields for our investment portfolio at March 31, 2026:</w:t>
      </w:r>
    </w:p>
    <w:tbl>
      <w:tblPr>
        <w:tblW w:w="9439" w:type="dxa"/>
        <w:jc w:val="center"/>
        <w:tblInd w:w="0" w:type="dxa"/>
        <w:tblLayout w:type="fixed"/>
        <w:tblCellMar>
          <w:top w:w="28" w:type="dxa"/>
          <w:left w:w="28" w:type="dxa"/>
          <w:bottom w:w="28" w:type="dxa"/>
          <w:right w:w="28" w:type="dxa"/>
        </w:tblCellMar>
      </w:tblPr>
      <w:tblGrid>
        <w:gridCol w:w="1754"/>
        <w:gridCol w:w="1543"/>
        <w:gridCol w:w="1548"/>
        <w:gridCol w:w="196"/>
        <w:gridCol w:w="871"/>
        <w:gridCol w:w="109"/>
        <w:gridCol w:w="109"/>
        <w:gridCol w:w="109"/>
        <w:gridCol w:w="109"/>
        <w:gridCol w:w="278"/>
        <w:gridCol w:w="278"/>
        <w:gridCol w:w="349"/>
        <w:gridCol w:w="109"/>
        <w:gridCol w:w="109"/>
        <w:gridCol w:w="109"/>
        <w:gridCol w:w="400"/>
        <w:gridCol w:w="400"/>
        <w:gridCol w:w="1059"/>
      </w:tblGrid>
      <w:tr>
        <w:trPr/>
        <w:tc>
          <w:tcPr>
            <w:tcW w:w="1754"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yield</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 available for sale:</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U.S. government sponsored entities and U.S. agency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within one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one to five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five to ten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after ten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U.S. government sponsored entities and U.S. agency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Mortgage-backed securities - agency: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within one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one to five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five to ten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after ten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mortgage-backed securities - agency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Mortgage-backed securities - non-agency: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within one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one to five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five to ten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after ten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mortgage-backed securities - non-agency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Asset-backed student loans: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within one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one to five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five to ten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after ten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asset-backed student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State and municipal securities</w:t>
            </w:r>
            <w:r>
              <w:rPr>
                <w:color w:val="000000"/>
              </w:rPr>
              <w:t xml:space="preserve"> </w:t>
            </w:r>
            <w:r>
              <w:rPr>
                <w:rFonts w:ascii="Times New Roman;serif" w:hAnsi="Times New Roman;serif"/>
                <w:b w:val="false"/>
                <w:i/>
                <w:color w:val="000000"/>
                <w:sz w:val="10"/>
              </w:rPr>
              <w:t>(1)</w:t>
            </w:r>
            <w:r>
              <w:rPr>
                <w:rFonts w:ascii="Times New Roman;serif" w:hAnsi="Times New Roman;serif"/>
                <w:b w:val="false"/>
                <w:i/>
                <w:color w:val="000000"/>
                <w:sz w:val="16"/>
              </w:rPr>
              <w: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within one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one to five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five to ten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after ten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state and municipal securities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Collateralized loan obligations: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within one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one to five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five to ten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after ten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collateralized loan obligations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Corporate securities: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within one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8.60 </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one to five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in five to ten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Maturing after ten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corporate securities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securities, available for sale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(1)Weighted average yield for tax-exempt securities are presented on a tax-equivalent basis assuming a federal income tax rate of 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credit ratings for our investment securities classified as available for sale, at fair value, at March 31, 2026:</w:t>
      </w:r>
    </w:p>
    <w:tbl>
      <w:tblPr>
        <w:tblW w:w="11968" w:type="dxa"/>
        <w:jc w:val="center"/>
        <w:tblInd w:w="0" w:type="dxa"/>
        <w:tblLayout w:type="fixed"/>
        <w:tblCellMar>
          <w:top w:w="28" w:type="dxa"/>
          <w:left w:w="28" w:type="dxa"/>
          <w:bottom w:w="28" w:type="dxa"/>
          <w:right w:w="28" w:type="dxa"/>
        </w:tblCellMar>
      </w:tblPr>
      <w:tblGrid>
        <w:gridCol w:w="587"/>
        <w:gridCol w:w="516"/>
        <w:gridCol w:w="518"/>
        <w:gridCol w:w="196"/>
        <w:gridCol w:w="871"/>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credit rating</w:t>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AAA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BBB+/-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&lt;BBB-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 Rated</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 available for sale: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sponsored entities and U.S.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agency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Mortgage-backed securities -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student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and municipal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loan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securities, available for sale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pPr>
      <w:r>
        <w:rPr>
          <w:rFonts w:ascii="Times New Roman;serif" w:hAnsi="Times New Roman;serif"/>
          <w:b/>
          <w:i/>
          <w:color w:val="000000"/>
          <w:sz w:val="20"/>
        </w:rPr>
        <w:t>Liabilities.</w:t>
      </w:r>
      <w:r>
        <w:rPr>
          <w:color w:val="000000"/>
        </w:rPr>
        <w:t xml:space="preserve"> </w:t>
      </w:r>
      <w:r>
        <w:rPr>
          <w:rFonts w:ascii="Times New Roman;serif" w:hAnsi="Times New Roman;serif"/>
          <w:b w:val="false"/>
          <w:color w:val="000000"/>
          <w:sz w:val="20"/>
        </w:rPr>
        <w:t>At March 31, 2026, liabilities totaled $5.99 billion compared to $5.95 billion at December 31, 2025.</w:t>
      </w:r>
    </w:p>
    <w:p>
      <w:pPr>
        <w:pStyle w:val="TextBody"/>
        <w:bidi w:val="0"/>
        <w:spacing w:lineRule="auto" w:line="288" w:before="0" w:after="240"/>
        <w:ind w:left="0" w:right="0" w:firstLine="720"/>
        <w:jc w:val="left"/>
        <w:rPr/>
      </w:pPr>
      <w:r>
        <w:rPr>
          <w:rFonts w:ascii="Times New Roman;serif" w:hAnsi="Times New Roman;serif"/>
          <w:b/>
          <w:i/>
          <w:color w:val="000000"/>
          <w:sz w:val="20"/>
        </w:rPr>
        <w:t>Deposits.</w:t>
      </w:r>
      <w:r>
        <w:rPr>
          <w:color w:val="000000"/>
        </w:rPr>
        <w:t xml:space="preserve"> </w:t>
      </w:r>
      <w:r>
        <w:rPr>
          <w:rFonts w:ascii="Times New Roman;serif" w:hAnsi="Times New Roman;serif"/>
          <w:b w:val="false"/>
          <w:color w:val="000000"/>
          <w:sz w:val="20"/>
        </w:rPr>
        <w:t>We emphasize developing total client relationships with our customers in order to increase our retail and commercial core deposit bases, which are our primary funding sources. Our deposits consist of noninterest-bearing and interest-bearing demand, savings and time deposit accounts.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deposits increased $15.7 million to $5.44 billion at March 31, 2026, compared to December 31, 2025. Retail deposits increased $81.6 million driven primarily by growth in existing consumer and small business customer relationships as a result of targeted initiatives. Deposits among wealth management clients declined $22.8 million, reflecting normal fluctuations in client cash balances. Servicing deposits decreased $20.0 million due the sales of the residential servicing portfolio and a portion of the commercial servicing portfolio. Brokered deposits decreased $17.2 million. </w:t>
      </w:r>
    </w:p>
    <w:tbl>
      <w:tblPr>
        <w:tblW w:w="7723" w:type="dxa"/>
        <w:jc w:val="left"/>
        <w:tblInd w:w="0" w:type="dxa"/>
        <w:tblLayout w:type="fixed"/>
        <w:tblCellMar>
          <w:top w:w="28" w:type="dxa"/>
          <w:left w:w="28" w:type="dxa"/>
          <w:bottom w:w="28" w:type="dxa"/>
          <w:right w:w="28" w:type="dxa"/>
        </w:tblCellMar>
      </w:tblPr>
      <w:tblGrid>
        <w:gridCol w:w="759"/>
        <w:gridCol w:w="669"/>
        <w:gridCol w:w="671"/>
        <w:gridCol w:w="196"/>
        <w:gridCol w:w="871"/>
        <w:gridCol w:w="109"/>
        <w:gridCol w:w="109"/>
        <w:gridCol w:w="109"/>
        <w:gridCol w:w="109"/>
        <w:gridCol w:w="278"/>
        <w:gridCol w:w="278"/>
        <w:gridCol w:w="349"/>
        <w:gridCol w:w="109"/>
        <w:gridCol w:w="109"/>
        <w:gridCol w:w="109"/>
        <w:gridCol w:w="196"/>
        <w:gridCol w:w="871"/>
        <w:gridCol w:w="109"/>
        <w:gridCol w:w="109"/>
        <w:gridCol w:w="109"/>
        <w:gridCol w:w="109"/>
        <w:gridCol w:w="278"/>
        <w:gridCol w:w="278"/>
        <w:gridCol w:w="349"/>
        <w:gridCol w:w="109"/>
        <w:gridCol w:w="109"/>
        <w:gridCol w:w="109"/>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4448" w:type="dxa"/>
            <w:gridSpan w:val="22"/>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713" w:type="dxa"/>
            <w:gridSpan w:val="10"/>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demand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Checking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maturity of uninsured time deposits as of March 31, 2026:</w:t>
      </w:r>
    </w:p>
    <w:tbl>
      <w:tblPr>
        <w:tblW w:w="3003" w:type="dxa"/>
        <w:jc w:val="center"/>
        <w:tblInd w:w="0" w:type="dxa"/>
        <w:tblLayout w:type="fixed"/>
        <w:tblCellMar>
          <w:top w:w="28" w:type="dxa"/>
          <w:left w:w="28" w:type="dxa"/>
          <w:bottom w:w="28" w:type="dxa"/>
          <w:right w:w="28" w:type="dxa"/>
        </w:tblCellMar>
      </w:tblPr>
      <w:tblGrid>
        <w:gridCol w:w="608"/>
        <w:gridCol w:w="535"/>
        <w:gridCol w:w="537"/>
        <w:gridCol w:w="109"/>
        <w:gridCol w:w="109"/>
        <w:gridCol w:w="109"/>
        <w:gridCol w:w="196"/>
        <w:gridCol w:w="64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months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to six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Six to 12 months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After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20"/>
        <w:jc w:val="left"/>
        <w:rPr/>
      </w:pPr>
      <w:r>
        <w:rPr/>
      </w: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Capital Resources and Liquidity Management</w:t>
      </w:r>
    </w:p>
    <w:p>
      <w:pPr>
        <w:pStyle w:val="TextBody"/>
        <w:bidi w:val="0"/>
        <w:spacing w:lineRule="auto" w:line="288" w:before="0" w:after="240"/>
        <w:ind w:left="0" w:right="0" w:firstLine="720"/>
        <w:jc w:val="left"/>
        <w:rPr/>
      </w:pPr>
      <w:r>
        <w:rPr>
          <w:rFonts w:ascii="Times New Roman;serif" w:hAnsi="Times New Roman;serif"/>
          <w:b/>
          <w:i/>
          <w:color w:val="000000"/>
          <w:sz w:val="20"/>
        </w:rPr>
        <w:t>Capital Resources.</w:t>
      </w:r>
      <w:r>
        <w:rPr>
          <w:color w:val="000000"/>
        </w:rPr>
        <w:t xml:space="preserve"> </w:t>
      </w:r>
      <w:r>
        <w:rPr>
          <w:rFonts w:ascii="Times New Roman;serif" w:hAnsi="Times New Roman;serif"/>
          <w:b w:val="false"/>
          <w:color w:val="000000"/>
          <w:sz w:val="20"/>
        </w:rPr>
        <w:t>Shareholders’ equity is influenced primarily by earnings, dividends, issuances and redemptions of common and preferred stock and changes in accumulated other comprehensive income caused primarily by fluctuations in unrealized holding gains or losses, net of taxes, on available-for-sale investment securities, fair value hedges and cash flow hedges.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Shareholders’ equity decreased $6.5 million to $559.0 million at March 31, 2026, compared to December 31, 2025. The change in shareholders’ equity was the result of dividends to common shareholders of $6.9 million, dividends to preferred shareholders of $2.2 million, repurchases of common stock of $7.9 million, and an increase in accumulated other comprehensive losses of $9.2 million, partially offset by net income of $18.5 million.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the Company’s board of directors authorized a new share repurchase program, pursuant to which the Company is authorized to repurchase up to $25.0 million of common stock through November 2, 2026. The stock repurchase program became effective on November 3, 2025. As of March 31, 2026, $17.4 million, or 822,729 shares of the Company’s common stock, had been repurchased under the current program.</w:t>
      </w:r>
    </w:p>
    <w:p>
      <w:pPr>
        <w:pStyle w:val="TextBody"/>
        <w:bidi w:val="0"/>
        <w:spacing w:lineRule="auto" w:line="288" w:before="0" w:after="240"/>
        <w:ind w:left="0" w:right="0" w:firstLine="720"/>
        <w:jc w:val="left"/>
        <w:rPr/>
      </w:pPr>
      <w:r>
        <w:rPr>
          <w:rFonts w:ascii="Times New Roman;serif" w:hAnsi="Times New Roman;serif"/>
          <w:b/>
          <w:i/>
          <w:color w:val="000000"/>
          <w:sz w:val="20"/>
        </w:rPr>
        <w:t>Liquidity Management.</w:t>
      </w:r>
      <w:r>
        <w:rPr>
          <w:color w:val="000000"/>
        </w:rPr>
        <w:t xml:space="preserve"> </w:t>
      </w:r>
      <w:r>
        <w:rPr>
          <w:rFonts w:ascii="Times New Roman;serif" w:hAnsi="Times New Roman;serif"/>
          <w:b w:val="false"/>
          <w:color w:val="000000"/>
          <w:sz w:val="20"/>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Integral to our liquidity management is the administration of short-term borrowings. To the extent we are unable to obtain sufficient liquidity through core deposits, we seek to meet our liquidity needs through wholesale funding or other borrowings on either a short- or long-term basis.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 which are classified as secured borrowings, generally mature within one to four days from the transaction date. Securities sold under agreements to repurchase are reflected at the amount of cash received in connection with the transaction, which represents the amount of the Bank’s obligation. The Bank may be required to provide additional collateral based on the fair value of the underlying securities. Investment securities with a carrying amount of $10.1 million and $12.2 million at March 31, 2026 and December 31, 2025, respectively, were pledged for securities sold under agreements to repurchase.</w:t>
      </w:r>
    </w:p>
    <w:p>
      <w:pPr>
        <w:pStyle w:val="TextBody"/>
        <w:bidi w:val="0"/>
        <w:spacing w:lineRule="auto" w:line="288" w:before="24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our sources of liquidity as of March 31, 2026 and December 31, 2025:</w:t>
      </w:r>
    </w:p>
    <w:tbl>
      <w:tblPr>
        <w:tblW w:w="7026" w:type="dxa"/>
        <w:jc w:val="left"/>
        <w:tblInd w:w="0" w:type="dxa"/>
        <w:tblLayout w:type="fixed"/>
        <w:tblCellMar>
          <w:top w:w="28" w:type="dxa"/>
          <w:left w:w="28" w:type="dxa"/>
          <w:bottom w:w="28" w:type="dxa"/>
          <w:right w:w="28" w:type="dxa"/>
        </w:tblCellMar>
      </w:tblPr>
      <w:tblGrid>
        <w:gridCol w:w="1293"/>
        <w:gridCol w:w="1135"/>
        <w:gridCol w:w="1141"/>
        <w:gridCol w:w="109"/>
        <w:gridCol w:w="109"/>
        <w:gridCol w:w="109"/>
        <w:gridCol w:w="210"/>
        <w:gridCol w:w="933"/>
        <w:gridCol w:w="116"/>
        <w:gridCol w:w="109"/>
        <w:gridCol w:w="109"/>
        <w:gridCol w:w="109"/>
        <w:gridCol w:w="248"/>
        <w:gridCol w:w="1102"/>
        <w:gridCol w:w="194"/>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127,811 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Unpledged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894,933 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812,587 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committed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872,234 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1,114,294 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FRB discount window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349,026 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Estimated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2,212,749 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2,403,718 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Conditional Funding Based on Market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Brokered CDs (additional capacity)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ICS One Way Buy (additional capacity)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corporation separate and apart from the Bank and, therefore, must provide for its own liquidity. The Company’s main source of funding is dividends declared and paid to it by the Bank. There are statutory, regulatory and debt covenant limitations that affect the ability of the Bank to pay dividends to the Company. Management believed at March 31, 2026, that these limitations will not impact our ability to meet our ongoing short-term cash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Regulatory Capital Requirements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we must meet specific capital guidelines that involve quantitative measures of our assets, liabilities and certain off-balance sheet items as calculated under regulatory accounting policies.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the Company and the Bank exceeded the regulatory minimums and met the regulatory definition of well capitalized. The following table presents the Company's and the Bank’s capital ratios and the minimum requirements at March 31, 2026:</w:t>
      </w:r>
    </w:p>
    <w:tbl>
      <w:tblPr>
        <w:tblW w:w="7483" w:type="dxa"/>
        <w:jc w:val="center"/>
        <w:tblInd w:w="0" w:type="dxa"/>
        <w:tblLayout w:type="fixed"/>
        <w:tblCellMar>
          <w:top w:w="28" w:type="dxa"/>
          <w:left w:w="28" w:type="dxa"/>
          <w:bottom w:w="28" w:type="dxa"/>
          <w:right w:w="28" w:type="dxa"/>
        </w:tblCellMar>
      </w:tblPr>
      <w:tblGrid>
        <w:gridCol w:w="1174"/>
        <w:gridCol w:w="1032"/>
        <w:gridCol w:w="1048"/>
        <w:gridCol w:w="109"/>
        <w:gridCol w:w="109"/>
        <w:gridCol w:w="109"/>
        <w:gridCol w:w="278"/>
        <w:gridCol w:w="278"/>
        <w:gridCol w:w="308"/>
        <w:gridCol w:w="109"/>
        <w:gridCol w:w="109"/>
        <w:gridCol w:w="109"/>
        <w:gridCol w:w="302"/>
        <w:gridCol w:w="302"/>
        <w:gridCol w:w="670"/>
        <w:gridCol w:w="109"/>
        <w:gridCol w:w="109"/>
        <w:gridCol w:w="109"/>
        <w:gridCol w:w="278"/>
        <w:gridCol w:w="278"/>
        <w:gridCol w:w="554"/>
      </w:tblGrid>
      <w:tr>
        <w:trPr/>
        <w:tc>
          <w:tcPr>
            <w:tcW w:w="11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Minimum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Regulatory</w:t>
            </w:r>
          </w:p>
          <w:p>
            <w:pPr>
              <w:pStyle w:val="TableContents"/>
              <w:bidi w:val="0"/>
              <w:spacing w:lineRule="auto" w:line="240" w:before="0" w:after="0"/>
              <w:jc w:val="center"/>
              <w:rPr/>
            </w:pPr>
            <w:r>
              <w:rPr>
                <w:rFonts w:ascii="Times New Roman;serif" w:hAnsi="Times New Roman;serif"/>
                <w:b/>
                <w:color w:val="000000"/>
                <w:sz w:val="16"/>
              </w:rPr>
              <w:t>Requirements</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Well</w:t>
              <w:br/>
              <w:t>Capitalized</w:t>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risk-based 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Midland States Bancorp,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Midland States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risk-based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Midland States Bancorp,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Midland States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tier 1 risk-based 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Midland States Bancorp,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Midland States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Midland States Bancorp,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Midland States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(1)Total risk-based capital ratio, Tier 1 risk-based capital ratio and Common equity tier 1 risk-based capital ratio include the capital conservation buffer of 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pStyle w:val="TextBody"/>
        <w:bidi w:val="0"/>
        <w:spacing w:lineRule="auto" w:line="288" w:before="0" w:after="240"/>
        <w:ind w:left="0" w:right="0" w:firstLine="720"/>
        <w:jc w:val="left"/>
        <w:rPr/>
      </w:pPr>
      <w:r>
        <w:rPr>
          <w:rFonts w:ascii="Times New Roman;serif" w:hAnsi="Times New Roman;serif"/>
          <w:b/>
          <w:i/>
          <w:color w:val="000000"/>
          <w:sz w:val="20"/>
        </w:rPr>
        <w:t>Market Risk.</w:t>
      </w:r>
      <w:r>
        <w:rPr>
          <w:color w:val="000000"/>
        </w:rPr>
        <w:t xml:space="preserve"> </w:t>
      </w:r>
      <w:r>
        <w:rPr>
          <w:rFonts w:ascii="Times New Roman;serif" w:hAnsi="Times New Roman;serif"/>
          <w:b w:val="false"/>
          <w:color w:val="000000"/>
          <w:sz w:val="20"/>
        </w:rPr>
        <w:t>Market risk represents the risk of loss due to changes in market values of assets and liabilities. We incur market risk in the normal course of business through exposures to market interest rates, equity prices, and credit spreads. We are primarily exposed to interest rate risk as a result of offering a wide array of financial products to our customers and secondarily to price risk from investments in securities.</w:t>
      </w:r>
    </w:p>
    <w:p>
      <w:pPr>
        <w:pStyle w:val="TextBody"/>
        <w:bidi w:val="0"/>
        <w:spacing w:lineRule="auto" w:line="288" w:before="0" w:after="240"/>
        <w:ind w:left="0" w:right="0" w:firstLine="720"/>
        <w:jc w:val="left"/>
        <w:rPr/>
      </w:pPr>
      <w:r>
        <w:rPr>
          <w:rFonts w:ascii="Times New Roman;serif" w:hAnsi="Times New Roman;serif"/>
          <w:b/>
          <w:i/>
          <w:color w:val="000000"/>
          <w:sz w:val="20"/>
        </w:rPr>
        <w:t xml:space="preserve">Interest Rate Risk. </w:t>
      </w:r>
      <w:r>
        <w:rPr>
          <w:rFonts w:ascii="Times New Roman;serif" w:hAnsi="Times New Roman;serif"/>
          <w:b w:val="false"/>
          <w:color w:val="000000"/>
          <w:sz w:val="20"/>
        </w:rPr>
        <w:t>Interest rate risk is the risk to earnings arising from changes in market interest rates. Interest rate risk arises from timing differences in the repricing and maturities of interest-earning assets and interest-bearing liabilities (reprice risk), changes in the expected maturities of assets and liabilities arising from embedded options, such as borrowers’ ability to prepay residential mortgage loans at any time and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rate risk management is an active process that encompasses monitoring loan and deposit flows complemented by investment, funding and hedging activities. Effective management of interest rate risk begins with understanding the dynamic characteristics of assets and liabilities and determining the appropriate interest rate risk posture given business forecasts, management objectives, market expectations, and policy constraints.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market interest rates may result in changes in the fair market value of our financial instruments, cash flows, and net interest income. We seek to achieve a stable net interest income profile while managing volatility arising from shifts in market interest rates. Our Board of Directors’ Risk Policy and Compliance Committee oversees interest rate risk, as well as the establishment of risk measures, limits, and policy guidelines for managing the amount of interest rate risk and its effect on net interest income. The Committee meets quarterly to monitor the level of interest rate risk sensitivity to ensure compliance with the board of directors’ approved risk limits.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asset sensitive position refers to a balance sheet position in which an increase in short-term interest rates is expected to generate higher net interest income, as rates earned on our interest-earning assets would reprice upward more quickly than rates paid on our interest-bearing liabilities, thus expanding our net interest margin. Conversely, a liability sensitive position refers to a balance sheet position in which an increase in short-term interest rates is expected to generate lower net interest income, as rates paid on our interest-bearing liabilities would reprice upward more quickly than rates earned on our interest-earning assets, thus compressing our net interest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rate risk measurement is calculated and reported to the Risk Policy and Compliance Committee at least quarterly. The information reported includes period-end results and identifies any policy limits exceeded, along with an assessment of the policy limit breach and the action plan and timeline for resolution, mitigation, or assumption of the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NII at Risk to model interest rate risk utilizing various assumptions for assets, liabilities, and derivatives. NII at Risk uses net interest income simulation analysis which involves forecasting net interest earnings under a variety of scenarios including changes in the level of interest rates, the shape of the yield curve, and spreads between market interest rates. The sensitivity of net interest income to changes in interest rates is measured using numerous interest rate scenarios including shocks, gradual ramps, curve flattening, curve steepening as well as forecasts of likely interest rates scenarios. Modeling the sensitivity of net interest earnings to changes in market interest rates is highly dependent on numerous assumptions incorporated into the modeling process. To the extent that actual performance is different than what was assumed, actual net interest earnings sensitivity may be different than projected. We use various ad-hoc reports to continuously refine, stress and validate these assumptions. Assumptions and methodologies regarding administered rate liabilities (e.g., savings accounts, money market accounts and interest-bearing checking accounts), balance trends, and repricing relationships reflect our best estimate of expected behavior and these assumptions are reviewed periodically.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NII at Risk at the dates indicated:</w:t>
      </w:r>
    </w:p>
    <w:tbl>
      <w:tblPr>
        <w:tblW w:w="6618" w:type="dxa"/>
        <w:jc w:val="center"/>
        <w:tblInd w:w="0" w:type="dxa"/>
        <w:tblLayout w:type="fixed"/>
        <w:tblCellMar>
          <w:top w:w="28" w:type="dxa"/>
          <w:left w:w="28" w:type="dxa"/>
          <w:bottom w:w="28" w:type="dxa"/>
          <w:right w:w="28" w:type="dxa"/>
        </w:tblCellMar>
      </w:tblPr>
      <w:tblGrid>
        <w:gridCol w:w="608"/>
        <w:gridCol w:w="535"/>
        <w:gridCol w:w="537"/>
        <w:gridCol w:w="196"/>
        <w:gridCol w:w="556"/>
        <w:gridCol w:w="241"/>
        <w:gridCol w:w="109"/>
        <w:gridCol w:w="109"/>
        <w:gridCol w:w="109"/>
        <w:gridCol w:w="196"/>
        <w:gridCol w:w="496"/>
        <w:gridCol w:w="241"/>
        <w:gridCol w:w="109"/>
        <w:gridCol w:w="109"/>
        <w:gridCol w:w="109"/>
        <w:gridCol w:w="196"/>
        <w:gridCol w:w="556"/>
        <w:gridCol w:w="241"/>
        <w:gridCol w:w="109"/>
        <w:gridCol w:w="109"/>
        <w:gridCol w:w="109"/>
        <w:gridCol w:w="196"/>
        <w:gridCol w:w="556"/>
        <w:gridCol w:w="286"/>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interest income sensitivity (Shocks)</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Immediate change in rates</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+200</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change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 change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change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 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NII at Risk to isolate the change in income related solely to interest-earning assets and interest-bearing liabilities. The NII at Risk results included in the table above reflect the analysis used quarterly by management. It models -200, −100, +100 and +200 basis point parallel shifts in market interest rates. We were within board policy limits for all scenarios at March 31, 2026.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Tolerance levels for risk management require the continuing development of remedial plans to maintain residual risk within approved levels as we adjust the balance sheet. NII at Risk reported at March 31, 2026 projects that our earnings exhibit increasing profitability in all of our first year rate shock scenarios. Throughout the course of 2025, the Bank has been holding to its non-maturity beta assumptions and lowering rates along with the industry overall. Coupled with market expectations, the Bank continued its strategy of layering on protection to changes in rates through deposit pricing, securities purchase selection and hedging.</w:t>
      </w:r>
    </w:p>
    <w:p>
      <w:pPr>
        <w:pStyle w:val="TextBody"/>
        <w:bidi w:val="0"/>
        <w:spacing w:lineRule="auto" w:line="288" w:before="0" w:after="240"/>
        <w:ind w:left="0" w:right="0" w:firstLine="720"/>
        <w:jc w:val="left"/>
        <w:rPr/>
      </w:pPr>
      <w:r>
        <w:rPr>
          <w:rFonts w:ascii="Times New Roman;serif" w:hAnsi="Times New Roman;serif"/>
          <w:b/>
          <w:i/>
          <w:color w:val="000000"/>
          <w:sz w:val="20"/>
        </w:rPr>
        <w:t>Price Risk.</w:t>
      </w:r>
      <w:r>
        <w:rPr>
          <w:color w:val="000000"/>
        </w:rPr>
        <w:t xml:space="preserve"> </w:t>
      </w:r>
      <w:r>
        <w:rPr>
          <w:rFonts w:ascii="Times New Roman;serif" w:hAnsi="Times New Roman;serif"/>
          <w:b w:val="false"/>
          <w:color w:val="000000"/>
          <w:sz w:val="20"/>
        </w:rPr>
        <w:t>Price risk represents the risk of loss arising from adverse movements in the prices of financial instruments that are carried at fair value and are subject to fair value accounting. We have price risk from investment securities, derivative instruments, and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quantitative and qualitative disclosures about market risk are included under “Item 2 – Management’s Discussion and Analysis of Financial Condition and Results of Operations – 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lineRule="auto" w:line="288" w:before="0" w:after="0"/>
        <w:ind w:left="0" w:right="0" w:firstLine="720"/>
        <w:jc w:val="left"/>
        <w:rPr/>
      </w:pPr>
      <w:r>
        <w:rPr>
          <w:rFonts w:ascii="Times New Roman;serif" w:hAnsi="Times New Roman;serif"/>
          <w:b w:val="false"/>
          <w:color w:val="000000"/>
          <w:sz w:val="20"/>
          <w:u w:val="single"/>
        </w:rPr>
        <w:t>Evaluation of disclosure controls and procedures.</w:t>
      </w:r>
      <w:r>
        <w:rPr>
          <w:color w:val="000000"/>
        </w:rPr>
        <w:t xml:space="preserve"> </w:t>
      </w:r>
      <w:r>
        <w:rPr>
          <w:rFonts w:ascii="Times New Roman;serif" w:hAnsi="Times New Roman;serif"/>
          <w:b w:val="false"/>
          <w:color w:val="000000"/>
          <w:sz w:val="20"/>
        </w:rPr>
        <w:t>The Company’s Management, including our President and Chief Executive Officer and our interim Chief Financial Officer, have evaluated the effectiveness of the design and operation of our disclosure controls and procedures (as defined in Rule 13a-15(e) under the Exchange Act), as of the end of the period covered by this report. Based on such evaluation, our President and Chief Executive Officer and our interim Chief Financial Officer have concluded that, as of the end of such period, the Company’s disclosure controls and procedures were effective as of that date to provide reasonable assurance that the information required to be disclosed by the Company in the reports it files or submits under the Exchange Act is recorded, processed, summarized and reported within the time periods specified in the rules and forms of the SEC and that information required to be disclosed by the Company in the reports it files or submits under the Exchange Act is accumulated and communicated to the Company’s management, including its President and Chief Executive Officer and its interim Chief Financial Officer, as appropriate, to allow timely decisions regarding required disclosure.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u w:val="single"/>
        </w:rPr>
        <w:t>Changes in internal control over financial reporting.</w:t>
      </w:r>
      <w:r>
        <w:rPr>
          <w:color w:val="000000"/>
        </w:rPr>
        <w:t xml:space="preserve"> </w:t>
      </w:r>
      <w:r>
        <w:rPr>
          <w:rFonts w:ascii="Times New Roman;serif" w:hAnsi="Times New Roman;serif"/>
          <w:b w:val="false"/>
          <w:color w:val="000000"/>
          <w:sz w:val="20"/>
        </w:rPr>
        <w:t>There have not been any changes in the Company’s internal control over financial reporting (as such term is defined in Rule 13a-15(f) under the Exchange Act) during the fiscal quarter to which this report relates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pPr>
      <w:r>
        <w:rPr>
          <w:rFonts w:ascii="Times New Roman;serif" w:hAnsi="Times New Roman;serif"/>
          <w:b/>
          <w:color w:val="000000"/>
          <w:sz w:val="20"/>
        </w:rPr>
        <w:t>P</w:t>
      </w:r>
      <w:r>
        <w:rPr>
          <w:rFonts w:ascii="Times New Roman;serif" w:hAnsi="Times New Roman;serif"/>
          <w:b/>
          <w:color w:val="000000"/>
          <w:sz w:val="16"/>
        </w:rPr>
        <w:t>ART</w:t>
      </w:r>
      <w:r>
        <w:rPr>
          <w:color w:val="000000"/>
        </w:rPr>
        <w:t xml:space="preserve"> </w:t>
      </w:r>
      <w:r>
        <w:rPr>
          <w:rFonts w:ascii="Times New Roman;serif" w:hAnsi="Times New Roman;serif"/>
          <w:b/>
          <w:color w:val="000000"/>
          <w:sz w:val="20"/>
        </w:rPr>
        <w:t>II – O</w:t>
      </w:r>
      <w:r>
        <w:rPr>
          <w:rFonts w:ascii="Times New Roman;serif" w:hAnsi="Times New Roman;serif"/>
          <w:b/>
          <w:color w:val="000000"/>
          <w:sz w:val="16"/>
        </w:rPr>
        <w:t>THER</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ITEM 1 – LEGAL PROCEEDINGS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material pending legal proceedings, other than ordinary routine litigation incidental to the business, to which we or any of our subsidiaries is a party or of which any of our property is the subject. However, given the nature, scope and complexity of the extensive legal and regulatory landscape applicable to our business, we, like all banking organizations, are subject to various legal proceedings from time to time, including those referenced in "Note 14 - Commitments, Contingencies and Credit Risk"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the “Risk Factors” section included in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ITEM 2 – UNREGISTERED SALES OF EQUITY SECURITIES AND USE OF PROCEEDS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Company’s repurchase of shares of its outstanding common stock during the first quarter of 2026:</w:t>
      </w:r>
    </w:p>
    <w:tbl>
      <w:tblPr>
        <w:tblW w:w="10205" w:type="dxa"/>
        <w:jc w:val="center"/>
        <w:tblInd w:w="0" w:type="dxa"/>
        <w:tblLayout w:type="fixed"/>
        <w:tblCellMar>
          <w:top w:w="28" w:type="dxa"/>
          <w:left w:w="28" w:type="dxa"/>
          <w:bottom w:w="28" w:type="dxa"/>
          <w:right w:w="28" w:type="dxa"/>
        </w:tblCellMar>
      </w:tblPr>
      <w:tblGrid>
        <w:gridCol w:w="400"/>
        <w:gridCol w:w="295"/>
        <w:gridCol w:w="299"/>
        <w:gridCol w:w="109"/>
        <w:gridCol w:w="109"/>
        <w:gridCol w:w="109"/>
        <w:gridCol w:w="564"/>
        <w:gridCol w:w="450"/>
        <w:gridCol w:w="452"/>
        <w:gridCol w:w="109"/>
        <w:gridCol w:w="109"/>
        <w:gridCol w:w="109"/>
        <w:gridCol w:w="278"/>
        <w:gridCol w:w="788"/>
        <w:gridCol w:w="154"/>
        <w:gridCol w:w="109"/>
        <w:gridCol w:w="109"/>
        <w:gridCol w:w="109"/>
        <w:gridCol w:w="870"/>
        <w:gridCol w:w="763"/>
        <w:gridCol w:w="766"/>
        <w:gridCol w:w="109"/>
        <w:gridCol w:w="109"/>
        <w:gridCol w:w="109"/>
        <w:gridCol w:w="420"/>
        <w:gridCol w:w="2060"/>
        <w:gridCol w:w="338"/>
      </w:tblGrid>
      <w:tr>
        <w:trPr/>
        <w:tc>
          <w:tcPr>
            <w:tcW w:w="40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rFonts w:ascii="Times New Roman;serif" w:hAnsi="Times New Roman;serif"/>
                <w:b/>
                <w:color w:val="000000"/>
                <w:sz w:val="8"/>
              </w:rPr>
              <w:t>(2)</w:t>
            </w:r>
          </w:p>
        </w:tc>
      </w:tr>
      <w:tr>
        <w:trPr/>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189,893 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189,893 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11,295,222 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1 - 28,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5,751 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5,263 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11,179,358 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170,351 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170,351 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7,568,410 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365,995 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365,507 </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7,568,410 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(1)Represents shares of the Company’s common stock repurchased under the stock repurchase program and shares withheld to satisfy tax withholding obligations upon the vesting of awards of restricted stock. </w:t>
      </w:r>
    </w:p>
    <w:p>
      <w:pPr>
        <w:pStyle w:val="TextBody"/>
        <w:bidi w:val="0"/>
        <w:spacing w:lineRule="auto" w:line="288" w:before="14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(2)As previously disclosed, the board of directors of the Company approved a stock repurchase program on November 3, 2025, pursuant to which the Company is authorized to repurchase up to $25.0 million of common stock through November 2, 2026. Stock repurchases under this programs may be made from time to time on the open market, in privately negotiated transactions, or in any manner that complies with applicable securities laws, at the discretion of the Company. The timing of purchases and the number of shares repurchased under the programs are dependent upon a variety of factors including price, trading volume, corporate and regulatory requirements and market condition. The repurchase program may be suspended or discontinued at any time without notice. As of March 31, 2026, 822,729 shares of the Company’s common stock have been repurchased under the program for an aggregate purchase price of $17.4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tbl>
      <w:tblPr>
        <w:tblW w:w="10205" w:type="dxa"/>
        <w:jc w:val="center"/>
        <w:tblInd w:w="0" w:type="dxa"/>
        <w:tblLayout w:type="fixed"/>
        <w:tblCellMar>
          <w:top w:w="28" w:type="dxa"/>
          <w:left w:w="28" w:type="dxa"/>
          <w:bottom w:w="28" w:type="dxa"/>
          <w:right w:w="28" w:type="dxa"/>
        </w:tblCellMar>
      </w:tblPr>
      <w:tblGrid>
        <w:gridCol w:w="295"/>
        <w:gridCol w:w="259"/>
        <w:gridCol w:w="260"/>
        <w:gridCol w:w="109"/>
        <w:gridCol w:w="109"/>
        <w:gridCol w:w="109"/>
        <w:gridCol w:w="2779"/>
        <w:gridCol w:w="2587"/>
        <w:gridCol w:w="3698"/>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sbi-20260331exx311.htm">
              <w:r>
                <w:rPr>
                  <w:rStyle w:val="InternetLink"/>
                  <w:rFonts w:ascii="Times New Roman;serif" w:hAnsi="Times New Roman;serif"/>
                  <w:b w:val="false"/>
                  <w:color w:val="0000FF"/>
                  <w:sz w:val="20"/>
                  <w:u w:val="single"/>
                </w:rPr>
                <w:t>Chief Executive Officer’s Certification required by Rule 13(a)-14(a) – filed herewith.</w:t>
              </w:r>
            </w:hyperlink>
          </w:p>
        </w:tc>
      </w:tr>
      <w:tr>
        <w:trPr/>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sbi-20260331exx312.htm">
              <w:r>
                <w:rPr>
                  <w:rStyle w:val="InternetLink"/>
                  <w:rFonts w:ascii="Times New Roman;serif" w:hAnsi="Times New Roman;serif"/>
                  <w:b w:val="false"/>
                  <w:color w:val="0000FF"/>
                  <w:sz w:val="20"/>
                  <w:u w:val="single"/>
                </w:rPr>
                <w:t>Chief Financial Officer’s Certification required by Rule 13(a)-14(a) – filed herewith.</w:t>
              </w:r>
            </w:hyperlink>
          </w:p>
        </w:tc>
      </w:tr>
      <w:tr>
        <w:trPr/>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sbi-20260331exx321.htm">
              <w:r>
                <w:rPr>
                  <w:rStyle w:val="InternetLink"/>
                  <w:rFonts w:ascii="Times New Roman;serif" w:hAnsi="Times New Roman;serif"/>
                  <w:b w:val="false"/>
                  <w:color w:val="0000FF"/>
                  <w:sz w:val="20"/>
                  <w:u w:val="single"/>
                </w:rPr>
                <w:t>Chief Executive Officer Certification pursuant to 18 U.S.C. Section 1350, as adopted pursuant to Section 906 of the Sarbanes-Oxley Act of 2002 – filed herewith.</w:t>
              </w:r>
            </w:hyperlink>
          </w:p>
        </w:tc>
      </w:tr>
      <w:tr>
        <w:trPr/>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sbi-20260331exx322.htm">
              <w:r>
                <w:rPr>
                  <w:rStyle w:val="InternetLink"/>
                  <w:rFonts w:ascii="Times New Roman;serif" w:hAnsi="Times New Roman;serif"/>
                  <w:b w:val="false"/>
                  <w:color w:val="0000FF"/>
                  <w:sz w:val="20"/>
                  <w:u w:val="single"/>
                </w:rPr>
                <w:t>Chief Financial Officer Certification pursuant to 18 U.S.C. Section 1350, as adopted pursuant to Section 906 of the Sarbanes-Oxley Act of 2002 – filed herewith.</w:t>
              </w:r>
            </w:hyperlink>
          </w:p>
        </w:tc>
      </w:tr>
      <w:tr>
        <w:trPr/>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information from the Company’s Quarterly Report on Form 10-Q for the quarterly period ended March 31, 2026 formatted in iXBRL (Inline extensible Business Reporting Language): (i) Consolidated Balance Sheets; (ii) Consolidated Statements of Income; (iii) Consolidated Statements of Comprehensive Income; (iv) Consolidated Statements of Shareholders’ Equity; (v) Consolidated Statements of Cash Flows; and (vi) Notes to Consolidated Financial Statements – filed herewith.</w:t>
            </w:r>
          </w:p>
        </w:tc>
      </w:tr>
      <w:tr>
        <w:trPr/>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Midland States Bancorp, Inc.’s Form 10-Q Report for the quarterly period ended March 31, 2026 formatted in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c81d5caa43e483c8b68b1a8856d6f4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593" w:type="dxa"/>
        <w:jc w:val="center"/>
        <w:tblInd w:w="0" w:type="dxa"/>
        <w:tblLayout w:type="fixed"/>
        <w:tblCellMar>
          <w:top w:w="28" w:type="dxa"/>
          <w:left w:w="28" w:type="dxa"/>
          <w:bottom w:w="28" w:type="dxa"/>
          <w:right w:w="28" w:type="dxa"/>
        </w:tblCellMar>
      </w:tblPr>
      <w:tblGrid>
        <w:gridCol w:w="645"/>
        <w:gridCol w:w="568"/>
        <w:gridCol w:w="571"/>
        <w:gridCol w:w="275"/>
        <w:gridCol w:w="275"/>
        <w:gridCol w:w="275"/>
        <w:gridCol w:w="275"/>
        <w:gridCol w:w="275"/>
        <w:gridCol w:w="275"/>
        <w:gridCol w:w="1505"/>
        <w:gridCol w:w="1505"/>
        <w:gridCol w:w="214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Midland States Bancorp,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G. Ludwig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G. Ludwig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Claire A. Stack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Claire A. Stack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Accounting Officer and interim 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ind w:left="0" w:right="0" w:firstLine="990"/>
        <w:jc w:val="center"/>
        <w:rPr>
          <w:color w:val="000000"/>
        </w:rPr>
      </w:pPr>
      <w:r>
        <w:rPr>
          <w:color w:val="000000"/>
        </w:rPr>
        <w:t> </w:t>
      </w:r>
    </w:p>
    <w:p>
      <w:pPr>
        <w:pStyle w:val="TextBody"/>
        <w:bidi w:val="0"/>
        <w:spacing w:lineRule="auto" w:line="288"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CERTIFICATIONS REQUIRED BY</w:t>
      </w:r>
    </w:p>
    <w:p>
      <w:pPr>
        <w:pStyle w:val="TextBody"/>
        <w:bidi w:val="0"/>
        <w:spacing w:lineRule="auto" w:line="288"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RULE 13a-14(a) OR RULE 15d-14(a)</w:t>
      </w:r>
    </w:p>
    <w:p>
      <w:pPr>
        <w:pStyle w:val="TextBody"/>
        <w:bidi w:val="0"/>
        <w:spacing w:lineRule="auto" w:line="288"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288" w:before="0" w:after="0"/>
        <w:ind w:left="0" w:right="0" w:firstLine="990"/>
        <w:jc w:val="left"/>
        <w:rPr>
          <w:color w:val="000000"/>
        </w:rPr>
      </w:pPr>
      <w:r>
        <w:rPr>
          <w:color w:val="000000"/>
        </w:rPr>
        <w:t> </w:t>
      </w:r>
    </w:p>
    <w:p>
      <w:pPr>
        <w:pStyle w:val="TextBody"/>
        <w:bidi w:val="0"/>
        <w:spacing w:lineRule="auto" w:line="288" w:before="0" w:after="200"/>
        <w:jc w:val="both"/>
        <w:rPr>
          <w:rFonts w:ascii="Times New Roman;serif" w:hAnsi="Times New Roman;serif"/>
          <w:b w:val="false"/>
          <w:color w:val="000000"/>
          <w:sz w:val="18"/>
        </w:rPr>
      </w:pPr>
      <w:r>
        <w:rPr>
          <w:rFonts w:ascii="Times New Roman;serif" w:hAnsi="Times New Roman;serif"/>
          <w:b w:val="false"/>
          <w:color w:val="000000"/>
          <w:sz w:val="18"/>
        </w:rPr>
        <w:t>I, Jeffrey G.  Ludwig, certify that: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(the “Report”) of Midland States Bancorp, Inc. (the “Registrant”);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990"/>
        <w:jc w:val="left"/>
        <w:rPr>
          <w:color w:val="000000"/>
        </w:rPr>
      </w:pPr>
      <w:r>
        <w:rPr>
          <w:color w:val="000000"/>
        </w:rPr>
        <w:t> </w:t>
      </w:r>
    </w:p>
    <w:p>
      <w:pPr>
        <w:pStyle w:val="TextBody"/>
        <w:bidi w:val="0"/>
        <w:spacing w:lineRule="auto" w:line="288" w:before="0" w:after="0"/>
        <w:ind w:left="0" w:right="0" w:firstLine="990"/>
        <w:jc w:val="left"/>
        <w:rPr>
          <w:color w:val="000000"/>
        </w:rPr>
      </w:pPr>
      <w:r>
        <w:rPr>
          <w:color w:val="000000"/>
        </w:rPr>
        <w:t> </w:t>
      </w:r>
    </w:p>
    <w:tbl>
      <w:tblPr>
        <w:tblW w:w="6405" w:type="dxa"/>
        <w:jc w:val="center"/>
        <w:tblInd w:w="0" w:type="dxa"/>
        <w:tblLayout w:type="fixed"/>
        <w:tblCellMar>
          <w:top w:w="28" w:type="dxa"/>
          <w:left w:w="28" w:type="dxa"/>
          <w:bottom w:w="28" w:type="dxa"/>
          <w:right w:w="28" w:type="dxa"/>
        </w:tblCellMar>
      </w:tblPr>
      <w:tblGrid>
        <w:gridCol w:w="750"/>
        <w:gridCol w:w="658"/>
        <w:gridCol w:w="662"/>
        <w:gridCol w:w="255"/>
        <w:gridCol w:w="255"/>
        <w:gridCol w:w="255"/>
        <w:gridCol w:w="255"/>
        <w:gridCol w:w="255"/>
        <w:gridCol w:w="255"/>
        <w:gridCol w:w="811"/>
        <w:gridCol w:w="811"/>
        <w:gridCol w:w="1183"/>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Midland States Bancorp, Inc.</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Dated as of: April 30, 2026</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Jeffrey G. Ludwig</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Jeffrey G. Ludwig</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President and Chief Executive Officer</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99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ind w:left="0" w:right="0" w:firstLine="990"/>
        <w:jc w:val="center"/>
        <w:rPr>
          <w:color w:val="000000"/>
        </w:rPr>
      </w:pPr>
      <w:r>
        <w:rPr>
          <w:color w:val="000000"/>
        </w:rPr>
        <w:t> </w:t>
      </w:r>
    </w:p>
    <w:p>
      <w:pPr>
        <w:pStyle w:val="TextBody"/>
        <w:bidi w:val="0"/>
        <w:spacing w:lineRule="auto" w:line="288"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CERTIFICATIONS REQUIRED BY</w:t>
      </w:r>
    </w:p>
    <w:p>
      <w:pPr>
        <w:pStyle w:val="TextBody"/>
        <w:bidi w:val="0"/>
        <w:spacing w:lineRule="auto" w:line="288"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RULE 13a-14(a) OR RULE 15d-14(a)</w:t>
      </w:r>
    </w:p>
    <w:p>
      <w:pPr>
        <w:pStyle w:val="TextBody"/>
        <w:bidi w:val="0"/>
        <w:spacing w:lineRule="auto" w:line="288"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288" w:before="0" w:after="0"/>
        <w:ind w:left="0" w:right="0" w:firstLine="990"/>
        <w:jc w:val="left"/>
        <w:rPr>
          <w:color w:val="000000"/>
        </w:rPr>
      </w:pPr>
      <w:r>
        <w:rPr>
          <w:color w:val="000000"/>
        </w:rPr>
        <w:t> </w:t>
      </w:r>
    </w:p>
    <w:p>
      <w:pPr>
        <w:pStyle w:val="TextBody"/>
        <w:bidi w:val="0"/>
        <w:spacing w:lineRule="auto" w:line="288" w:before="0" w:after="200"/>
        <w:jc w:val="both"/>
        <w:rPr>
          <w:rFonts w:ascii="Times New Roman;serif" w:hAnsi="Times New Roman;serif"/>
          <w:b w:val="false"/>
          <w:color w:val="000000"/>
          <w:sz w:val="18"/>
        </w:rPr>
      </w:pPr>
      <w:r>
        <w:rPr>
          <w:rFonts w:ascii="Times New Roman;serif" w:hAnsi="Times New Roman;serif"/>
          <w:b w:val="false"/>
          <w:color w:val="000000"/>
          <w:sz w:val="18"/>
        </w:rPr>
        <w:t>I, Claire A. Stack, certify that: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(the “Report”) of Midland States Bancorp, Inc. (the “Registrant”);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990"/>
        <w:jc w:val="left"/>
        <w:rPr>
          <w:color w:val="000000"/>
        </w:rPr>
      </w:pPr>
      <w:r>
        <w:rPr>
          <w:color w:val="000000"/>
        </w:rPr>
        <w:t> </w:t>
      </w:r>
    </w:p>
    <w:p>
      <w:pPr>
        <w:pStyle w:val="TextBody"/>
        <w:bidi w:val="0"/>
        <w:spacing w:lineRule="auto" w:line="288" w:before="0" w:after="0"/>
        <w:ind w:left="0" w:right="0" w:firstLine="990"/>
        <w:jc w:val="left"/>
        <w:rPr>
          <w:color w:val="000000"/>
        </w:rPr>
      </w:pPr>
      <w:r>
        <w:rPr>
          <w:color w:val="000000"/>
        </w:rPr>
        <w:t> </w:t>
      </w:r>
    </w:p>
    <w:tbl>
      <w:tblPr>
        <w:tblW w:w="8759" w:type="dxa"/>
        <w:jc w:val="center"/>
        <w:tblInd w:w="0" w:type="dxa"/>
        <w:tblLayout w:type="fixed"/>
        <w:tblCellMar>
          <w:top w:w="28" w:type="dxa"/>
          <w:left w:w="28" w:type="dxa"/>
          <w:bottom w:w="28" w:type="dxa"/>
          <w:right w:w="28" w:type="dxa"/>
        </w:tblCellMar>
      </w:tblPr>
      <w:tblGrid>
        <w:gridCol w:w="750"/>
        <w:gridCol w:w="658"/>
        <w:gridCol w:w="662"/>
        <w:gridCol w:w="255"/>
        <w:gridCol w:w="255"/>
        <w:gridCol w:w="255"/>
        <w:gridCol w:w="255"/>
        <w:gridCol w:w="255"/>
        <w:gridCol w:w="255"/>
        <w:gridCol w:w="1490"/>
        <w:gridCol w:w="1490"/>
        <w:gridCol w:w="2179"/>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Midland States Bancorp, Inc.</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Dated as of: April 30, 2026</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Claire A. Stack</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Claire A. Stack</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Accounting Officer and interim Chief Financial Officer</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ind w:left="0" w:right="0" w:firstLine="1440"/>
        <w:jc w:val="center"/>
        <w:rPr>
          <w:color w:val="000000"/>
        </w:rPr>
      </w:pPr>
      <w:r>
        <w:rPr>
          <w:color w:val="000000"/>
        </w:rPr>
        <w:t> </w:t>
      </w:r>
    </w:p>
    <w:p>
      <w:pPr>
        <w:pStyle w:val="TextBody"/>
        <w:bidi w:val="0"/>
        <w:spacing w:lineRule="auto" w:line="288" w:before="0" w:after="0"/>
        <w:ind w:left="0" w:right="0" w:firstLine="144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ind w:left="0" w:right="0" w:firstLine="144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ind w:left="0" w:right="0" w:firstLine="144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ind w:left="0" w:right="0" w:firstLine="14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200"/>
        <w:jc w:val="both"/>
        <w:rPr>
          <w:rFonts w:ascii="Times New Roman;serif" w:hAnsi="Times New Roman;serif"/>
          <w:b w:val="false"/>
          <w:color w:val="000000"/>
          <w:sz w:val="18"/>
        </w:rPr>
      </w:pPr>
      <w:r>
        <w:rPr>
          <w:rFonts w:ascii="Times New Roman;serif" w:hAnsi="Times New Roman;serif"/>
          <w:b w:val="false"/>
          <w:color w:val="000000"/>
          <w:sz w:val="18"/>
        </w:rPr>
        <w:t>I, Jeffrey G. Ludwig, President and Chief Executive Officer of Midland States Bancorp, Inc. (the “Company”) certify, pursuant to 18 U.S.C. Section 1350, as adopted pursuant to Section 906 of the Sarbanes-Oxley Act of 2002, that to the best of my knowledge:</w:t>
      </w:r>
    </w:p>
    <w:p>
      <w:pPr>
        <w:pStyle w:val="TextBody"/>
        <w:bidi w:val="0"/>
        <w:spacing w:lineRule="auto" w:line="288" w:before="0" w:after="24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Quarterly Report on Form 10-Q of the Company for the quarterly period ended March 31, 2026 (the “Report”) fully complies with the requirements of Sections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6405" w:type="dxa"/>
        <w:jc w:val="center"/>
        <w:tblInd w:w="0" w:type="dxa"/>
        <w:tblLayout w:type="fixed"/>
        <w:tblCellMar>
          <w:top w:w="28" w:type="dxa"/>
          <w:left w:w="28" w:type="dxa"/>
          <w:bottom w:w="28" w:type="dxa"/>
          <w:right w:w="28" w:type="dxa"/>
        </w:tblCellMar>
      </w:tblPr>
      <w:tblGrid>
        <w:gridCol w:w="750"/>
        <w:gridCol w:w="658"/>
        <w:gridCol w:w="662"/>
        <w:gridCol w:w="255"/>
        <w:gridCol w:w="255"/>
        <w:gridCol w:w="255"/>
        <w:gridCol w:w="255"/>
        <w:gridCol w:w="255"/>
        <w:gridCol w:w="255"/>
        <w:gridCol w:w="811"/>
        <w:gridCol w:w="811"/>
        <w:gridCol w:w="1183"/>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Midland States Bancorp, Inc.</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Dated as of: April 30, 2026</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Jeffrey G. Ludwig</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Jeffrey G. Ludwig</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President and Chief Executive Officer</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ind w:left="0" w:right="0" w:firstLine="1440"/>
        <w:jc w:val="center"/>
        <w:rPr>
          <w:color w:val="000000"/>
        </w:rPr>
      </w:pPr>
      <w:r>
        <w:rPr>
          <w:color w:val="000000"/>
        </w:rPr>
        <w:t> </w:t>
      </w:r>
    </w:p>
    <w:p>
      <w:pPr>
        <w:pStyle w:val="TextBody"/>
        <w:bidi w:val="0"/>
        <w:spacing w:lineRule="auto" w:line="288" w:before="0" w:after="0"/>
        <w:ind w:left="0" w:right="0" w:firstLine="144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ind w:left="0" w:right="0" w:firstLine="144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ind w:left="0" w:right="0" w:firstLine="144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ind w:left="0" w:right="0" w:firstLine="14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200"/>
        <w:jc w:val="both"/>
        <w:rPr>
          <w:rFonts w:ascii="Times New Roman;serif" w:hAnsi="Times New Roman;serif"/>
          <w:b w:val="false"/>
          <w:color w:val="000000"/>
          <w:sz w:val="18"/>
        </w:rPr>
      </w:pPr>
      <w:r>
        <w:rPr>
          <w:rFonts w:ascii="Times New Roman;serif" w:hAnsi="Times New Roman;serif"/>
          <w:b w:val="false"/>
          <w:color w:val="000000"/>
          <w:sz w:val="18"/>
        </w:rPr>
        <w:t>I, Claire A. Stack, interim Chief Financial Officer of Midland States Bancorp, Inc. (the “Company”) certify, pursuant to 18 U.S.C. Section 1350, as adopted pursuant to Section 906 of the Sarbanes-Oxley Act of 2002, that to the best of my knowledge:</w:t>
      </w:r>
    </w:p>
    <w:p>
      <w:pPr>
        <w:pStyle w:val="TextBody"/>
        <w:bidi w:val="0"/>
        <w:spacing w:lineRule="auto" w:line="288" w:before="0" w:after="24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Quarterly Report on Form 10-Q of the Company for the quarterly period ended March 31, 2026 (the “Report”) fully complies with the requirements of Sections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8759" w:type="dxa"/>
        <w:jc w:val="center"/>
        <w:tblInd w:w="0" w:type="dxa"/>
        <w:tblLayout w:type="fixed"/>
        <w:tblCellMar>
          <w:top w:w="28" w:type="dxa"/>
          <w:left w:w="28" w:type="dxa"/>
          <w:bottom w:w="28" w:type="dxa"/>
          <w:right w:w="28" w:type="dxa"/>
        </w:tblCellMar>
      </w:tblPr>
      <w:tblGrid>
        <w:gridCol w:w="750"/>
        <w:gridCol w:w="658"/>
        <w:gridCol w:w="662"/>
        <w:gridCol w:w="255"/>
        <w:gridCol w:w="255"/>
        <w:gridCol w:w="255"/>
        <w:gridCol w:w="255"/>
        <w:gridCol w:w="255"/>
        <w:gridCol w:w="255"/>
        <w:gridCol w:w="1490"/>
        <w:gridCol w:w="1490"/>
        <w:gridCol w:w="2179"/>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Midland States Bancorp, Inc.</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Dated as of: April 30, 2026</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Claire A. Stack</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Claire A. Stack</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Accounting Officer and interim Chief Financial Officer</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28721</Words>
  <Characters>162572</Characters>
  <CharactersWithSpaces>188957</CharactersWithSpaces>
  <Paragraphs>7588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