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Stack Claire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 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9,598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8000"/>
              </w:rPr>
              <w:t>1. RSA with vesting schedule</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/s/Claire Ann Stack</w:t>
            </w:r>
          </w:p>
        </w:tc>
        <w:tc>
          <w:tcPr>
            <w:tcW w:w="460" w:type="dxa"/>
            <w:vAlign w:val="bottom"/>
          </w:tcPr>
          <w:p>
            <w:pPr>
              <w:spacing w:after="0"/>
              <w:rPr>
                <w:sz w:val="24"/>
                <w:szCs w:val="24"/>
                <w:color w:val="auto"/>
              </w:rPr>
            </w:pP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11/02/2026</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460" w:type="dxa"/>
            <w:vAlign w:val="bottom"/>
          </w:tcPr>
          <w:p>
            <w:pPr>
              <w:spacing w:after="0"/>
              <w:rPr>
                <w:sz w:val="21"/>
                <w:szCs w:val="21"/>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11/02/2026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-2865120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March,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Claire Stack</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952"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2026-11-02T15:53:44Z</dcterms:created>
  <dcterms:modified xsi:type="dcterms:W3CDTF">2026-11-02T15:53:44Z</dcterms:modified>
</cp:coreProperties>
</file>