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425450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398780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57785</wp:posOffset>
            </wp:positionV>
            <wp:extent cx="13881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53340</wp:posOffset>
            </wp:positionV>
            <wp:extent cx="13881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262" w:lineRule="exact"/>
        <w:rPr>
          <w:sz w:val="24"/>
          <w:szCs w:val="24"/>
          <w:color w:val="auto"/>
        </w:rPr>
      </w:pPr>
    </w:p>
    <w:p>
      <w:pPr>
        <w:jc w:val="center"/>
        <w:ind w:right="-79"/>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QUARTERLY REPORT PURSUANT TO SECTION 13 OR 15(d) OF THE SECURITIES EXCHANGE ACT OF 1934</w: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 xml:space="preserve">For the quarterly period ended </w:t>
      </w:r>
      <w:r>
        <w:rPr>
          <w:rFonts w:ascii="Times New Roman" w:cs="Times New Roman" w:eastAsia="Times New Roman" w:hAnsi="Times New Roman"/>
          <w:sz w:val="14"/>
          <w:szCs w:val="14"/>
          <w:color w:val="auto"/>
        </w:rPr>
        <w:t>September 30, 2026</w:t>
      </w:r>
    </w:p>
    <w:p>
      <w:pPr>
        <w:spacing w:after="0" w:line="105" w:lineRule="exact"/>
        <w:rPr>
          <w:sz w:val="24"/>
          <w:szCs w:val="24"/>
          <w:color w:val="auto"/>
        </w:rPr>
      </w:pPr>
    </w:p>
    <w:p>
      <w:pPr>
        <w:jc w:val="center"/>
        <w:ind w:right="-79"/>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TRANSITION REPORT PURSUANT TO SECTION 13 OR 15(d) OF THE SECURITIES EXCHANGE ACT OF 1934</w:t>
      </w:r>
    </w:p>
    <w:p>
      <w:pPr>
        <w:spacing w:after="0" w:line="1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color w:val="auto"/>
        </w:rPr>
        <w:t>For the transition period from ______________ to _______________</w:t>
      </w:r>
    </w:p>
    <w:p>
      <w:pPr>
        <w:spacing w:after="0" w:line="1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Commission File Number 001-35272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74930</wp:posOffset>
            </wp:positionV>
            <wp:extent cx="13881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MIDLAND STATES BANCORP, INC.</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57785</wp:posOffset>
            </wp:positionV>
            <wp:extent cx="13881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218" w:lineRule="exact"/>
        <w:rPr>
          <w:sz w:val="24"/>
          <w:szCs w:val="24"/>
          <w:color w:val="auto"/>
        </w:rPr>
      </w:pPr>
    </w:p>
    <w:tbl>
      <w:tblPr>
        <w:tblLayout w:type="fixed"/>
        <w:tblInd w:w="12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3"/>
              </w:rPr>
              <w:t>Illinois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20" w:type="dxa"/>
            <w:vAlign w:val="bottom"/>
            <w:gridSpan w:val="2"/>
          </w:tcPr>
          <w:p>
            <w:pPr>
              <w:jc w:val="right"/>
              <w:ind w:right="1256"/>
              <w:spacing w:after="0"/>
              <w:rPr>
                <w:sz w:val="20"/>
                <w:szCs w:val="20"/>
                <w:color w:val="auto"/>
              </w:rPr>
            </w:pPr>
            <w:r>
              <w:rPr>
                <w:rFonts w:ascii="Times New Roman" w:cs="Times New Roman" w:eastAsia="Times New Roman" w:hAnsi="Times New Roman"/>
                <w:sz w:val="13"/>
                <w:szCs w:val="13"/>
                <w:b w:val="1"/>
                <w:bCs w:val="1"/>
                <w:color w:val="auto"/>
              </w:rPr>
              <w:t>37-1233196</w:t>
            </w:r>
          </w:p>
        </w:tc>
        <w:tc>
          <w:tcPr>
            <w:tcW w:w="0" w:type="dxa"/>
            <w:vAlign w:val="bottom"/>
          </w:tcPr>
          <w:p>
            <w:pPr>
              <w:spacing w:after="0"/>
              <w:rPr>
                <w:sz w:val="1"/>
                <w:szCs w:val="1"/>
                <w:color w:val="auto"/>
              </w:rPr>
            </w:pPr>
          </w:p>
        </w:tc>
      </w:tr>
      <w:tr>
        <w:trPr>
          <w:trHeight w:val="180"/>
        </w:trPr>
        <w:tc>
          <w:tcPr>
            <w:tcW w:w="4440" w:type="dxa"/>
            <w:vAlign w:val="bottom"/>
            <w:gridSpan w:val="4"/>
          </w:tcPr>
          <w:p>
            <w:pPr>
              <w:jc w:val="center"/>
              <w:ind w:left="616"/>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20" w:type="dxa"/>
            <w:vAlign w:val="bottom"/>
            <w:gridSpan w:val="2"/>
          </w:tcPr>
          <w:p>
            <w:pPr>
              <w:jc w:val="center"/>
              <w:ind w:right="376"/>
              <w:spacing w:after="0"/>
              <w:rPr>
                <w:sz w:val="20"/>
                <w:szCs w:val="20"/>
                <w:color w:val="auto"/>
              </w:rPr>
            </w:pPr>
            <w:r>
              <w:rPr>
                <w:rFonts w:ascii="Times New Roman" w:cs="Times New Roman" w:eastAsia="Times New Roman" w:hAnsi="Times New Roman"/>
                <w:sz w:val="13"/>
                <w:szCs w:val="13"/>
                <w:color w:val="auto"/>
                <w:w w:val="98"/>
              </w:rPr>
              <w:t>(I.R.S. Employer Identification No.)</w:t>
            </w: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4"/>
                <w:szCs w:val="24"/>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1201 Network Centre Drive</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gridSpan w:val="2"/>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62401</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Effingham, IL</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60" w:type="dxa"/>
            <w:vAlign w:val="bottom"/>
          </w:tcPr>
          <w:p>
            <w:pPr>
              <w:jc w:val="center"/>
              <w:ind w:right="856"/>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180"/>
        </w:trPr>
        <w:tc>
          <w:tcPr>
            <w:tcW w:w="3820" w:type="dxa"/>
            <w:vAlign w:val="bottom"/>
            <w:gridSpan w:val="3"/>
          </w:tcPr>
          <w:p>
            <w:pPr>
              <w:jc w:val="center"/>
              <w:ind w:left="1216"/>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gridSpan w:val="2"/>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8"/>
              </w:rPr>
              <w:t>(217) 342-7321</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4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4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4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2160" w:type="dxa"/>
            <w:vAlign w:val="bottom"/>
            <w:gridSpan w:val="2"/>
          </w:tcPr>
          <w:p>
            <w:pPr>
              <w:jc w:val="center"/>
              <w:ind w:right="12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gridSpan w:val="3"/>
          </w:tcPr>
          <w:p>
            <w:pPr>
              <w:jc w:val="center"/>
              <w:ind w:right="124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820" w:type="dxa"/>
            <w:vAlign w:val="bottom"/>
            <w:gridSpan w:val="2"/>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20" w:type="dxa"/>
            <w:vAlign w:val="bottom"/>
            <w:gridSpan w:val="3"/>
          </w:tcPr>
          <w:p>
            <w:pPr>
              <w:jc w:val="center"/>
              <w:ind w:left="416"/>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3"/>
          </w:tcPr>
          <w:p>
            <w:pPr>
              <w:jc w:val="center"/>
              <w:ind w:right="1240"/>
              <w:spacing w:after="0"/>
              <w:rPr>
                <w:sz w:val="20"/>
                <w:szCs w:val="20"/>
                <w:color w:val="auto"/>
              </w:rPr>
            </w:pPr>
            <w:r>
              <w:rPr>
                <w:rFonts w:ascii="Times New Roman" w:cs="Times New Roman" w:eastAsia="Times New Roman" w:hAnsi="Times New Roman"/>
                <w:sz w:val="13"/>
                <w:szCs w:val="13"/>
                <w:color w:val="auto"/>
              </w:rPr>
              <w:t>MSBI</w:t>
            </w:r>
          </w:p>
        </w:tc>
        <w:tc>
          <w:tcPr>
            <w:tcW w:w="4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42"/>
        </w:trPr>
        <w:tc>
          <w:tcPr>
            <w:tcW w:w="4440" w:type="dxa"/>
            <w:vAlign w:val="bottom"/>
            <w:gridSpan w:val="4"/>
          </w:tcPr>
          <w:p>
            <w:pPr>
              <w:jc w:val="center"/>
              <w:ind w:right="96"/>
              <w:spacing w:after="0" w:line="143" w:lineRule="exact"/>
              <w:rPr>
                <w:sz w:val="20"/>
                <w:szCs w:val="20"/>
                <w:color w:val="auto"/>
              </w:rPr>
            </w:pPr>
            <w:r>
              <w:rPr>
                <w:rFonts w:ascii="Times New Roman" w:cs="Times New Roman" w:eastAsia="Times New Roman" w:hAnsi="Times New Roman"/>
                <w:sz w:val="13"/>
                <w:szCs w:val="13"/>
                <w:color w:val="auto"/>
                <w:w w:val="98"/>
              </w:rPr>
              <w:t>Depositary Shares, each representing a 1/40th interest in a share of 7.75% fixed rate</w:t>
            </w:r>
          </w:p>
        </w:tc>
        <w:tc>
          <w:tcPr>
            <w:tcW w:w="580" w:type="dxa"/>
            <w:vAlign w:val="bottom"/>
          </w:tcPr>
          <w:p>
            <w:pPr>
              <w:spacing w:after="0"/>
              <w:rPr>
                <w:sz w:val="12"/>
                <w:szCs w:val="12"/>
                <w:color w:val="auto"/>
              </w:rPr>
            </w:pPr>
          </w:p>
        </w:tc>
        <w:tc>
          <w:tcPr>
            <w:tcW w:w="2240" w:type="dxa"/>
            <w:vAlign w:val="bottom"/>
            <w:gridSpan w:val="3"/>
            <w:vMerge w:val="restart"/>
          </w:tcPr>
          <w:p>
            <w:pPr>
              <w:jc w:val="center"/>
              <w:ind w:right="1220"/>
              <w:spacing w:after="0"/>
              <w:rPr>
                <w:sz w:val="20"/>
                <w:szCs w:val="20"/>
                <w:color w:val="auto"/>
              </w:rPr>
            </w:pPr>
            <w:r>
              <w:rPr>
                <w:rFonts w:ascii="Times New Roman" w:cs="Times New Roman" w:eastAsia="Times New Roman" w:hAnsi="Times New Roman"/>
                <w:sz w:val="13"/>
                <w:szCs w:val="13"/>
                <w:color w:val="auto"/>
                <w:w w:val="97"/>
              </w:rPr>
              <w:t>MSBIP</w:t>
            </w:r>
          </w:p>
        </w:tc>
        <w:tc>
          <w:tcPr>
            <w:tcW w:w="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20" w:type="dxa"/>
            <w:vAlign w:val="bottom"/>
            <w:gridSpan w:val="3"/>
            <w:vMerge w:val="restart"/>
          </w:tcPr>
          <w:p>
            <w:pPr>
              <w:jc w:val="center"/>
              <w:ind w:left="396"/>
              <w:spacing w:after="0"/>
              <w:rPr>
                <w:sz w:val="20"/>
                <w:szCs w:val="20"/>
                <w:color w:val="auto"/>
              </w:rPr>
            </w:pPr>
            <w:r>
              <w:rPr>
                <w:rFonts w:ascii="Times New Roman" w:cs="Times New Roman" w:eastAsia="Times New Roman" w:hAnsi="Times New Roman"/>
                <w:sz w:val="13"/>
                <w:szCs w:val="13"/>
                <w:color w:val="auto"/>
                <w:w w:val="98"/>
              </w:rPr>
              <w:t>reset non-cumulative perpetual preferred stock, Series A</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64"/>
        </w:trPr>
        <w:tc>
          <w:tcPr>
            <w:tcW w:w="382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right="40"/>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w:t>
      </w:r>
    </w:p>
    <w:p>
      <w:pPr>
        <w:spacing w:after="0" w:line="95" w:lineRule="exact"/>
        <w:rPr>
          <w:sz w:val="24"/>
          <w:szCs w:val="24"/>
          <w:color w:val="auto"/>
        </w:rPr>
      </w:pPr>
    </w:p>
    <w:p>
      <w:pPr>
        <w:ind w:right="100"/>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w:t>
      </w:r>
    </w:p>
    <w:p>
      <w:pPr>
        <w:spacing w:after="0" w:line="9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741" w:right="379" w:bottom="1440" w:gutter="0" w:footer="0" w:header="0"/>
        </w:sectPr>
      </w:pPr>
    </w:p>
    <w:p>
      <w:pPr>
        <w:spacing w:after="0" w:line="138" w:lineRule="exact"/>
        <w:rPr>
          <w:sz w:val="24"/>
          <w:szCs w:val="24"/>
          <w:color w:val="auto"/>
        </w:rPr>
      </w:pPr>
    </w:p>
    <w:p>
      <w:pPr>
        <w:ind w:left="20" w:right="220"/>
        <w:spacing w:after="0" w:line="379" w:lineRule="auto"/>
        <w:rPr>
          <w:sz w:val="20"/>
          <w:szCs w:val="20"/>
          <w:color w:val="auto"/>
        </w:rPr>
      </w:pPr>
      <w:r>
        <w:rPr>
          <w:rFonts w:ascii="Times New Roman" w:cs="Times New Roman" w:eastAsia="Times New Roman" w:hAnsi="Times New Roman"/>
          <w:sz w:val="12"/>
          <w:szCs w:val="12"/>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100"/>
        <w:spacing w:after="0" w:line="121" w:lineRule="exact"/>
        <w:rPr>
          <w:sz w:val="20"/>
          <w:szCs w:val="20"/>
          <w:color w:val="auto"/>
        </w:rPr>
      </w:pPr>
      <w:r>
        <w:rPr>
          <w:rFonts w:ascii="MS PGothic" w:cs="MS PGothic" w:eastAsia="MS PGothic" w:hAnsi="MS PGothic"/>
          <w:sz w:val="12"/>
          <w:szCs w:val="12"/>
          <w:color w:val="auto"/>
        </w:rPr>
        <w:t>☐</w:t>
      </w:r>
    </w:p>
    <w:p>
      <w:pPr>
        <w:spacing w:after="0" w:line="460" w:lineRule="exact"/>
        <w:rPr>
          <w:sz w:val="24"/>
          <w:szCs w:val="24"/>
          <w:color w:val="auto"/>
        </w:rPr>
      </w:pPr>
    </w:p>
    <w:p>
      <w:pPr>
        <w:sectPr>
          <w:pgSz w:w="11900" w:h="16838" w:orient="portrait"/>
          <w:cols w:equalWidth="0" w:num="8">
            <w:col w:w="1620" w:space="720"/>
            <w:col w:w="700" w:space="720"/>
            <w:col w:w="840" w:space="60"/>
            <w:col w:w="120" w:space="420"/>
            <w:col w:w="1120" w:space="720"/>
            <w:col w:w="100" w:space="440"/>
            <w:col w:w="1700" w:space="720"/>
            <w:col w:w="1220"/>
          </w:cols>
          <w:pgMar w:left="300" w:top="741" w:right="379" w:bottom="1440" w:gutter="0" w:footer="0" w:header="0"/>
          <w:type w:val="continuous"/>
        </w:sect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October 20, 2026, the Registrant had 20,802,347 shares of outstanding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492125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161290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71481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20"/>
          </w:cols>
          <w:pgMar w:left="300" w:top="741"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MIDLAND STATES BANCORP,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197"/>
        </w:trPr>
        <w:tc>
          <w:tcPr>
            <w:tcW w:w="10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Financial Statements:</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 Balance Sheets at September 30, 2026 (Unaudited) and December 31, 2025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 Statements of Income (Unaudited) for the three and nine months ended September 30, 2026 and 2025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 Statements of Comprehensive Income (Unaudited) for the three and nine months ended September 30, 2026 and 2025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 Statements of Shareholders’ Equity (Unaudited) for the three and nine months ended September 30, 2026 and 2025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 Statements of Cash Flows (Unaudited) for the nine months ended September 30, 2026 and 2025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spacing w:after="0"/>
              <w:rPr>
                <w:sz w:val="16"/>
                <w:szCs w:val="16"/>
                <w:color w:val="auto"/>
              </w:rPr>
            </w:pP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Notes to Consolidated Financial Statements (Unaudited)</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Controls and Procedures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6"/>
                <w:szCs w:val="16"/>
                <w:color w:val="auto"/>
              </w:rPr>
            </w:pPr>
          </w:p>
        </w:tc>
      </w:tr>
      <w:tr>
        <w:trPr>
          <w:trHeight w:val="212"/>
        </w:trPr>
        <w:tc>
          <w:tcPr>
            <w:tcW w:w="109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0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 OTHER INFORMATION</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Legal Proceedings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Risk Factors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Information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Exhibits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shd w:val="clear" w:color="auto" w:fill="CCEEFF"/>
          </w:tcPr>
          <w:p>
            <w:pPr>
              <w:spacing w:after="0"/>
              <w:rPr>
                <w:sz w:val="16"/>
                <w:szCs w:val="16"/>
                <w:color w:val="auto"/>
              </w:rPr>
            </w:pPr>
          </w:p>
        </w:tc>
      </w:tr>
      <w:tr>
        <w:trPr>
          <w:trHeight w:val="212"/>
        </w:trPr>
        <w:tc>
          <w:tcPr>
            <w:tcW w:w="14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95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GLOSSARY OF ABBREVIATIONS AND ACRONYMS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report, references to the "Company," "we," "our," "us," and similar terms refer to the consolidated entity consisting of Midland States Bancorp, Inc. and its wholly owned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Midland States Bancorp, Inc. refers solely to the parent holding company and Midland States Bank (the "Bank") refers to our wholly owned banking subsidiary.</w:t>
      </w:r>
    </w:p>
    <w:p>
      <w:pPr>
        <w:spacing w:after="0" w:line="16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acronyms and abbreviations identified below are used throughout this report, including the Notes to the Consolidated Financial Statements. You may find it helpful to refer to this page as you read this report.</w:t>
      </w:r>
    </w:p>
    <w:p>
      <w:pPr>
        <w:sectPr>
          <w:pgSz w:w="11900" w:h="16838" w:orient="portrait"/>
          <w:cols w:equalWidth="0" w:num="1">
            <w:col w:w="11200"/>
          </w:cols>
          <w:pgMar w:left="300" w:top="125" w:right="39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2019 Incentive Plan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AFX</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AMERIBOR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AOCI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ASC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ASU</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ATM</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Basel III Rule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BHCA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CBLR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CFPB</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CISA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CRA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CRA Proposal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CRE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CRE Guidance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DFPR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DIF</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Exchange Act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FASB</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FDIC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Federal Reserve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FHA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FHLB</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FinTech</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FOMC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FRB</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GAAP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GreenSky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Illinois CRA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LendingPoint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LGD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Midland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Nasdaq</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NII at Risk</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OREO</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PCAOB</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PCD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Q-Factor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Regulatory Relief Act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SBA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SOFR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Treasury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Amended and Restated Midland States Bancorp, Inc. 2019 Long-Term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Allowance for credit losses on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American Financial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American Interbank Offered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Accounting Standards Codification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Accounting Standards Update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Automated teller machine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Banking-as-a-Service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Basel III regulatory capital reforms required by the Dodd-Frank 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Holding Company Act of 1956, as amended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Community Bank Leverage Ratio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Consumer Financial Protection Bureau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Cybersecurity and Infrastructure Security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Community Reinvestment 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Joint Proposal to Strengthen and Modernize Community Reinvestment Act Regulations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Real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Concentrations in Commercial Real Estate Lending, Sound Risk Management Practices guidance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Illinois Department of Financial and Professional Regulation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Deposit Insurance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Exchange Act of 1934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Accounting Standards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Deposit Insurance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Governors of the Federal Reserve System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Housing Administration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Home Loan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Technology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Open Market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Reserve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generally accepted accounting principles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GreenSky,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Illinois Community Reinvestment 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LendingPoint,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Loss given default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Midland States Preferred Securities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Nasdaq Global Select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Interest Income at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real estate owned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Public Company Accounting Oversight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Purchased credit deteriorated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Probability of default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Qualitative factor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Economic Growth, Regulatory Relief and Consumer Protection 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 Business Administration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Securities and Exchange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Secured Overnight Financing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Department of the Treasury</w:t>
      </w:r>
    </w:p>
    <w:p>
      <w:pPr>
        <w:spacing w:after="0" w:line="200" w:lineRule="exact"/>
        <w:rPr>
          <w:sz w:val="20"/>
          <w:szCs w:val="20"/>
          <w:color w:val="auto"/>
        </w:rPr>
      </w:pPr>
    </w:p>
    <w:p>
      <w:pPr>
        <w:sectPr>
          <w:pgSz w:w="11900" w:h="16838" w:orient="portrait"/>
          <w:cols w:equalWidth="0" w:num="2">
            <w:col w:w="2000" w:space="720"/>
            <w:col w:w="8480"/>
          </w:cols>
          <w:pgMar w:left="30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ITEM 1 – FINANCIAL STATEMENTS</w:t>
      </w:r>
    </w:p>
    <w:p>
      <w:pPr>
        <w:spacing w:after="0" w:line="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MIDLAND STATES BANCORP, INC.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per share data)</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8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11"/>
                <w:szCs w:val="11"/>
                <w:color w:val="auto"/>
              </w:rPr>
            </w:pPr>
          </w:p>
        </w:tc>
        <w:tc>
          <w:tcPr>
            <w:tcW w:w="12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5"/>
        </w:trPr>
        <w:tc>
          <w:tcPr>
            <w:tcW w:w="8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i w:val="1"/>
                <w:iCs w:val="1"/>
                <w:color w:val="auto"/>
              </w:rPr>
              <w:t>(unaudited)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due from banks</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99,055</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127,279</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funds sold</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w:t>
            </w:r>
          </w:p>
        </w:tc>
        <w:tc>
          <w:tcPr>
            <w:tcW w:w="0" w:type="dxa"/>
            <w:vAlign w:val="bottom"/>
          </w:tcPr>
          <w:p>
            <w:pPr>
              <w:spacing w:after="0"/>
              <w:rPr>
                <w:sz w:val="1"/>
                <w:szCs w:val="1"/>
                <w:color w:val="auto"/>
              </w:rPr>
            </w:pPr>
          </w:p>
        </w:tc>
      </w:tr>
      <w:tr>
        <w:trPr>
          <w:trHeight w:val="151"/>
        </w:trPr>
        <w:tc>
          <w:tcPr>
            <w:tcW w:w="8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127,811</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 available for sale, at fair value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1,905,194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1,523,001</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4,235</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4,282,828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4,352,004</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Allowance for credit losses on loans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(60,852)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(69,219)</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loans, net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4,221,976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4,282,785</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Loans held for sale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7,781</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82,435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85,134</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real estate owned</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606</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Nonmarketable equity securities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32,598</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interest receivable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23,824</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 servicing rights, at lower of cost or fair value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11,932</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 servicing rights, held for sale</w:t>
            </w:r>
          </w:p>
        </w:tc>
        <w:tc>
          <w:tcPr>
            <w:tcW w:w="24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3,661</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7,927</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8,876</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218,554</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Credit enhancement asset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12,557</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171,046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162,138</w:t>
            </w:r>
          </w:p>
        </w:tc>
        <w:tc>
          <w:tcPr>
            <w:tcW w:w="0" w:type="dxa"/>
            <w:vAlign w:val="bottom"/>
          </w:tcPr>
          <w:p>
            <w:pPr>
              <w:spacing w:after="0"/>
              <w:rPr>
                <w:sz w:val="1"/>
                <w:szCs w:val="1"/>
                <w:color w:val="auto"/>
              </w:rPr>
            </w:pPr>
          </w:p>
        </w:tc>
      </w:tr>
      <w:tr>
        <w:trPr>
          <w:trHeight w:val="170"/>
        </w:trPr>
        <w:tc>
          <w:tcPr>
            <w:tcW w:w="8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6,816,842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6,513,420</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8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200" w:type="dxa"/>
            <w:vAlign w:val="bottom"/>
          </w:tcPr>
          <w:p>
            <w:pPr>
              <w:ind w:left="470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Deposits: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973,388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1,040,411</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4,644,050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4,383,968</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deposits</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5,617,438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5,424,379</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151,499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60,181</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Home Loan Bank advances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293,000</w:t>
            </w: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Subordinated debt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27,019</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Trust preferred debentures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51,857</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Accrued interest payable and other liabilities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84,094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91,485</w:t>
            </w:r>
          </w:p>
        </w:tc>
        <w:tc>
          <w:tcPr>
            <w:tcW w:w="0" w:type="dxa"/>
            <w:vAlign w:val="bottom"/>
          </w:tcPr>
          <w:p>
            <w:pPr>
              <w:spacing w:after="0"/>
              <w:rPr>
                <w:sz w:val="1"/>
                <w:szCs w:val="1"/>
                <w:color w:val="auto"/>
              </w:rPr>
            </w:pPr>
          </w:p>
        </w:tc>
      </w:tr>
      <w:tr>
        <w:trPr>
          <w:trHeight w:val="16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6,285,475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5,947,921</w:t>
            </w:r>
          </w:p>
        </w:tc>
        <w:tc>
          <w:tcPr>
            <w:tcW w:w="0" w:type="dxa"/>
            <w:vAlign w:val="bottom"/>
          </w:tcPr>
          <w:p>
            <w:pPr>
              <w:spacing w:after="0"/>
              <w:rPr>
                <w:sz w:val="1"/>
                <w:szCs w:val="1"/>
                <w:color w:val="auto"/>
              </w:rPr>
            </w:pPr>
          </w:p>
        </w:tc>
      </w:tr>
      <w:tr>
        <w:trPr>
          <w:trHeight w:val="106"/>
        </w:trPr>
        <w:tc>
          <w:tcPr>
            <w:tcW w:w="8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Preferred stock, $2.00 par value; 4,000,000 shares authorized; 115,000 Series A shares, $1,000 per share liquidation preference, issued and outstanding at September 30, 2026 and</w:t>
            </w:r>
          </w:p>
        </w:tc>
        <w:tc>
          <w:tcPr>
            <w:tcW w:w="24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110,548</w:t>
            </w:r>
          </w:p>
        </w:tc>
        <w:tc>
          <w:tcPr>
            <w:tcW w:w="0" w:type="dxa"/>
            <w:vAlign w:val="bottom"/>
          </w:tcPr>
          <w:p>
            <w:pPr>
              <w:spacing w:after="0"/>
              <w:rPr>
                <w:sz w:val="1"/>
                <w:szCs w:val="1"/>
                <w:color w:val="auto"/>
              </w:rPr>
            </w:pPr>
          </w:p>
        </w:tc>
      </w:tr>
      <w:tr>
        <w:trPr>
          <w:trHeight w:val="151"/>
        </w:trPr>
        <w:tc>
          <w:tcPr>
            <w:tcW w:w="8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December 31, 2025, respectively</w:t>
            </w: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2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rPr>
              <w:t>Common stock, $0.01 par value; 40,000,000 shares authorized; 20,801,859 and 21,169,854 shares issued and outstanding at September 30, 2026 and December 31, 2025,</w:t>
            </w:r>
          </w:p>
        </w:tc>
        <w:tc>
          <w:tcPr>
            <w:tcW w:w="24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surplus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422,207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428,247</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120,601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86,825</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loss, net of tax</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(122,197)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(60,333)</w:t>
            </w:r>
          </w:p>
        </w:tc>
        <w:tc>
          <w:tcPr>
            <w:tcW w:w="0" w:type="dxa"/>
            <w:vAlign w:val="bottom"/>
          </w:tcPr>
          <w:p>
            <w:pPr>
              <w:spacing w:after="0"/>
              <w:rPr>
                <w:sz w:val="1"/>
                <w:szCs w:val="1"/>
                <w:color w:val="auto"/>
              </w:rPr>
            </w:pPr>
          </w:p>
        </w:tc>
      </w:tr>
      <w:tr>
        <w:trPr>
          <w:trHeight w:val="16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531,367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565,499</w:t>
            </w:r>
          </w:p>
        </w:tc>
        <w:tc>
          <w:tcPr>
            <w:tcW w:w="0" w:type="dxa"/>
            <w:vAlign w:val="bottom"/>
          </w:tcPr>
          <w:p>
            <w:pPr>
              <w:spacing w:after="0"/>
              <w:rPr>
                <w:sz w:val="1"/>
                <w:szCs w:val="1"/>
                <w:color w:val="auto"/>
              </w:rPr>
            </w:pPr>
          </w:p>
        </w:tc>
      </w:tr>
      <w:tr>
        <w:trPr>
          <w:trHeight w:val="170"/>
        </w:trPr>
        <w:tc>
          <w:tcPr>
            <w:tcW w:w="8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6,816,842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6,513,420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MIDLAND STATES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 —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40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50"/>
        </w:trPr>
        <w:tc>
          <w:tcPr>
            <w:tcW w:w="54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Taxable</w:t>
            </w: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68,760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80,583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236,765</w:t>
            </w:r>
          </w:p>
        </w:tc>
        <w:tc>
          <w:tcPr>
            <w:tcW w:w="0" w:type="dxa"/>
            <w:vAlign w:val="bottom"/>
          </w:tcPr>
          <w:p>
            <w:pPr>
              <w:spacing w:after="0"/>
              <w:rPr>
                <w:sz w:val="1"/>
                <w:szCs w:val="1"/>
                <w:color w:val="auto"/>
              </w:rPr>
            </w:pPr>
          </w:p>
        </w:tc>
      </w:tr>
      <w:tr>
        <w:trPr>
          <w:trHeight w:val="154"/>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 exempt</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held for sale</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5,087</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Taxable</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21,539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15,418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47,011</w:t>
            </w:r>
          </w:p>
        </w:tc>
        <w:tc>
          <w:tcPr>
            <w:tcW w:w="0" w:type="dxa"/>
            <w:vAlign w:val="bottom"/>
          </w:tcPr>
          <w:p>
            <w:pPr>
              <w:spacing w:after="0"/>
              <w:rPr>
                <w:sz w:val="1"/>
                <w:szCs w:val="1"/>
                <w:color w:val="auto"/>
              </w:rPr>
            </w:pPr>
          </w:p>
        </w:tc>
      </w:tr>
      <w:tr>
        <w:trPr>
          <w:trHeight w:val="154"/>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 exempt</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443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1,303</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Nonmarketable equity securities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Federal funds sold and cash investments</w:t>
            </w: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1,333</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849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2,283</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interest income</w:t>
            </w:r>
          </w:p>
        </w:tc>
        <w:tc>
          <w:tcPr>
            <w:tcW w:w="8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93,021</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98,493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267,220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295,772</w:t>
            </w:r>
          </w:p>
        </w:tc>
        <w:tc>
          <w:tcPr>
            <w:tcW w:w="0" w:type="dxa"/>
            <w:vAlign w:val="bottom"/>
          </w:tcPr>
          <w:p>
            <w:pPr>
              <w:spacing w:after="0"/>
              <w:rPr>
                <w:sz w:val="1"/>
                <w:szCs w:val="1"/>
                <w:color w:val="auto"/>
              </w:rPr>
            </w:pPr>
          </w:p>
        </w:tc>
      </w:tr>
      <w:tr>
        <w:trPr>
          <w:trHeight w:val="134"/>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Deposits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26,251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30,219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97,124</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Short-term borrowings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Federal Home Loan Bank advances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2,165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10,973</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Subordinated debt</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1,393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4,174</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Trust preferred debentures</w:t>
            </w: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1,154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3,627</w:t>
            </w:r>
          </w:p>
        </w:tc>
        <w:tc>
          <w:tcPr>
            <w:tcW w:w="0" w:type="dxa"/>
            <w:vAlign w:val="bottom"/>
          </w:tcPr>
          <w:p>
            <w:pPr>
              <w:spacing w:after="0"/>
              <w:rPr>
                <w:sz w:val="1"/>
                <w:szCs w:val="1"/>
                <w:color w:val="auto"/>
              </w:rPr>
            </w:pPr>
          </w:p>
        </w:tc>
      </w:tr>
      <w:tr>
        <w:trPr>
          <w:trHeight w:val="145"/>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interest expense</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30,299</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37,376</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87,492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117,670</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62,722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61,117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178,102</w:t>
            </w:r>
          </w:p>
        </w:tc>
        <w:tc>
          <w:tcPr>
            <w:tcW w:w="0" w:type="dxa"/>
            <w:vAlign w:val="bottom"/>
          </w:tcPr>
          <w:p>
            <w:pPr>
              <w:spacing w:after="0"/>
              <w:rPr>
                <w:sz w:val="1"/>
                <w:szCs w:val="1"/>
                <w:color w:val="auto"/>
              </w:rPr>
            </w:pPr>
          </w:p>
        </w:tc>
      </w:tr>
      <w:tr>
        <w:trPr>
          <w:trHeight w:val="154"/>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3,685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20,505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48,724</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Provision (recapture) of credit losses on unfunded commitments</w:t>
            </w: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provision for credit losses</w:t>
            </w:r>
          </w:p>
        </w:tc>
        <w:tc>
          <w:tcPr>
            <w:tcW w:w="8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3,735</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20,005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48,224</w:t>
            </w:r>
          </w:p>
        </w:tc>
        <w:tc>
          <w:tcPr>
            <w:tcW w:w="0" w:type="dxa"/>
            <w:vAlign w:val="bottom"/>
          </w:tcPr>
          <w:p>
            <w:pPr>
              <w:spacing w:after="0"/>
              <w:rPr>
                <w:sz w:val="1"/>
                <w:szCs w:val="1"/>
                <w:color w:val="auto"/>
              </w:rPr>
            </w:pPr>
          </w:p>
        </w:tc>
      </w:tr>
      <w:tr>
        <w:trPr>
          <w:trHeight w:val="145"/>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58,987</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41,112</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164,171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129,878</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8,651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8,018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25,667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22,747</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charges on deposit accounts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3,775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3,598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10,254</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Interchange revenue</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3,984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10,059</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mortgage banking revenue</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735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on company-owned life insurance</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1,828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2,102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sales of investment securities, net</w:t>
            </w:r>
          </w:p>
        </w:tc>
        <w:tc>
          <w:tcPr>
            <w:tcW w:w="8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Credit enhancement income</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3,108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1,675</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2,346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6,540</w:t>
            </w:r>
          </w:p>
        </w:tc>
        <w:tc>
          <w:tcPr>
            <w:tcW w:w="0" w:type="dxa"/>
            <w:vAlign w:val="bottom"/>
          </w:tcPr>
          <w:p>
            <w:pPr>
              <w:spacing w:after="0"/>
              <w:rPr>
                <w:sz w:val="1"/>
                <w:szCs w:val="1"/>
                <w:color w:val="auto"/>
              </w:rPr>
            </w:pPr>
          </w:p>
        </w:tc>
      </w:tr>
      <w:tr>
        <w:trPr>
          <w:trHeight w:val="145"/>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noninterest income</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23,237</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20,016</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69,127</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61,313</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expense:</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28,500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26,393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78,494</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 and equipment</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4,330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processing</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6,871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7,186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21,140</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FDIC insurance</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791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Professional services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1,669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7,550</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Marketing</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1,539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3,536</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Communications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 expense</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3,214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1,721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5,046</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 servicing fees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1,063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1,274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3,410</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Impairment on goodwill</w:t>
            </w:r>
          </w:p>
        </w:tc>
        <w:tc>
          <w:tcPr>
            <w:tcW w:w="8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153,977</w:t>
            </w:r>
          </w:p>
        </w:tc>
        <w:tc>
          <w:tcPr>
            <w:tcW w:w="0" w:type="dxa"/>
            <w:vAlign w:val="bottom"/>
          </w:tcPr>
          <w:p>
            <w:pPr>
              <w:spacing w:after="0"/>
              <w:rPr>
                <w:sz w:val="1"/>
                <w:szCs w:val="1"/>
                <w:color w:val="auto"/>
              </w:rPr>
            </w:pPr>
          </w:p>
        </w:tc>
      </w:tr>
      <w:tr>
        <w:trPr>
          <w:trHeight w:val="154"/>
        </w:trPr>
        <w:tc>
          <w:tcPr>
            <w:tcW w:w="5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743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expense</w:t>
            </w: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3,817</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3,004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8,949</w:t>
            </w:r>
          </w:p>
        </w:tc>
        <w:tc>
          <w:tcPr>
            <w:tcW w:w="0" w:type="dxa"/>
            <w:vAlign w:val="bottom"/>
          </w:tcPr>
          <w:p>
            <w:pPr>
              <w:spacing w:after="0"/>
              <w:rPr>
                <w:sz w:val="1"/>
                <w:szCs w:val="1"/>
                <w:color w:val="auto"/>
              </w:rPr>
            </w:pPr>
          </w:p>
        </w:tc>
      </w:tr>
      <w:tr>
        <w:trPr>
          <w:trHeight w:val="145"/>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52,843</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49,814</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154,022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302,811</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29,381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11,314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79,276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(111,620)</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6,573</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3,757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9,773</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22,808</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7,557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Preferred dividends</w:t>
            </w: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2,229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0" w:type="dxa"/>
            <w:vAlign w:val="bottom"/>
          </w:tcPr>
          <w:p>
            <w:pPr>
              <w:spacing w:after="0"/>
              <w:rPr>
                <w:sz w:val="1"/>
                <w:szCs w:val="1"/>
                <w:color w:val="auto"/>
              </w:rPr>
            </w:pPr>
          </w:p>
        </w:tc>
      </w:tr>
      <w:tr>
        <w:trPr>
          <w:trHeight w:val="17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 available to common shareholders</w:t>
            </w:r>
          </w:p>
        </w:tc>
        <w:tc>
          <w:tcPr>
            <w:tcW w:w="84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20,579</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5,328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54,474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(128,078)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Per common share data:</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4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Basic earnings (loss) per common share</w:t>
            </w: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0.24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154"/>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Diluted earnings (loss) per common share</w:t>
            </w:r>
          </w:p>
        </w:tc>
        <w:tc>
          <w:tcPr>
            <w:tcW w:w="840" w:type="dxa"/>
            <w:vAlign w:val="bottom"/>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tcPr>
          <w:p>
            <w:pPr>
              <w:spacing w:after="0"/>
              <w:rPr>
                <w:sz w:val="13"/>
                <w:szCs w:val="13"/>
                <w:color w:val="auto"/>
              </w:rPr>
            </w:pPr>
          </w:p>
        </w:tc>
        <w:tc>
          <w:tcPr>
            <w:tcW w:w="840" w:type="dxa"/>
            <w:vAlign w:val="bottom"/>
          </w:tcPr>
          <w:p>
            <w:pPr>
              <w:jc w:val="right"/>
              <w:ind w:right="7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0.24</w:t>
            </w:r>
          </w:p>
        </w:tc>
        <w:tc>
          <w:tcPr>
            <w:tcW w:w="80" w:type="dxa"/>
            <w:vAlign w:val="bottom"/>
          </w:tcPr>
          <w:p>
            <w:pPr>
              <w:spacing w:after="0"/>
              <w:rPr>
                <w:sz w:val="13"/>
                <w:szCs w:val="13"/>
                <w:color w:val="auto"/>
              </w:rPr>
            </w:pPr>
          </w:p>
        </w:tc>
        <w:tc>
          <w:tcPr>
            <w:tcW w:w="34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Pr>
          <w:p>
            <w:pPr>
              <w:spacing w:after="0"/>
              <w:rPr>
                <w:sz w:val="13"/>
                <w:szCs w:val="13"/>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6"/>
              </w:rPr>
              <w:t>21,128,351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6"/>
              </w:rPr>
              <w:t>21,863,911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21,167,256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21,826,566</w:t>
            </w:r>
          </w:p>
        </w:tc>
        <w:tc>
          <w:tcPr>
            <w:tcW w:w="0" w:type="dxa"/>
            <w:vAlign w:val="bottom"/>
          </w:tcPr>
          <w:p>
            <w:pPr>
              <w:spacing w:after="0"/>
              <w:rPr>
                <w:sz w:val="1"/>
                <w:szCs w:val="1"/>
                <w:color w:val="auto"/>
              </w:rPr>
            </w:pPr>
          </w:p>
        </w:tc>
      </w:tr>
      <w:tr>
        <w:trPr>
          <w:trHeight w:val="149"/>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Weighted average diluted common shares outstanding</w:t>
            </w:r>
          </w:p>
        </w:tc>
        <w:tc>
          <w:tcPr>
            <w:tcW w:w="84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6"/>
              </w:rPr>
              <w:t>21,140,143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6"/>
              </w:rPr>
              <w:t>21,863,911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21,167,256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21,826,566</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MIDLAND STATES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4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90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22,808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r>
      <w:tr>
        <w:trPr>
          <w:trHeight w:val="160"/>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9"/>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0"/>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Unrealized gains (losses) that occurred during the period</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(75,464)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(87,904)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23,684</w:t>
            </w:r>
          </w:p>
        </w:tc>
      </w:tr>
      <w:tr>
        <w:trPr>
          <w:trHeight w:val="17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 for realized net (gains) losses on sales of investment securities included in net income</w:t>
            </w:r>
          </w:p>
        </w:tc>
        <w:tc>
          <w:tcPr>
            <w:tcW w:w="9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0"/>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 adjustment for (gains) losses on fair value hedges included in net income</w:t>
            </w:r>
          </w:p>
        </w:tc>
        <w:tc>
          <w:tcPr>
            <w:tcW w:w="90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7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 effect</w:t>
            </w: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21,042</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(6,294)</w:t>
            </w:r>
          </w:p>
        </w:tc>
      </w:tr>
      <w:tr>
        <w:trPr>
          <w:trHeight w:val="151"/>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Change in investment securities available for sale, net of tax</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(54,376)</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11,200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(62,264)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17,267</w:t>
            </w:r>
          </w:p>
        </w:tc>
      </w:tr>
      <w:tr>
        <w:trPr>
          <w:trHeight w:val="159"/>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flow hedges: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0"/>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unrealized derivative gains (losses) on cash flow hedges</w:t>
            </w: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w:t>
            </w:r>
          </w:p>
        </w:tc>
      </w:tr>
      <w:tr>
        <w:trPr>
          <w:trHeight w:val="17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 for net losses realized in net income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w:t>
            </w:r>
          </w:p>
        </w:tc>
      </w:tr>
      <w:tr>
        <w:trPr>
          <w:trHeight w:val="16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Income tax effect</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(597)</w:t>
            </w:r>
          </w:p>
        </w:tc>
      </w:tr>
      <w:tr>
        <w:trPr>
          <w:trHeight w:val="1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Change in cash flow hedges, net of tax</w:t>
            </w:r>
          </w:p>
        </w:tc>
        <w:tc>
          <w:tcPr>
            <w:tcW w:w="9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1,727</w:t>
            </w:r>
          </w:p>
        </w:tc>
      </w:tr>
      <w:tr>
        <w:trPr>
          <w:trHeight w:val="151"/>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(54,266)</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18,994</w:t>
            </w:r>
          </w:p>
        </w:tc>
      </w:tr>
      <w:tr>
        <w:trPr>
          <w:trHeight w:val="19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comprehensive income (loss)</w:t>
            </w:r>
          </w:p>
        </w:tc>
        <w:tc>
          <w:tcPr>
            <w:tcW w:w="9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(31,458)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18,579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(102,399)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consolidated financial statements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MIDLAND STATES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 —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0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3180" w:type="dxa"/>
            <w:vAlign w:val="bottom"/>
          </w:tcPr>
          <w:p>
            <w:pPr>
              <w:spacing w:after="0"/>
              <w:rPr>
                <w:sz w:val="9"/>
                <w:szCs w:val="9"/>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common</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0" w:type="dxa"/>
            <w:vAlign w:val="bottom"/>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9"/>
                <w:szCs w:val="9"/>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0"/>
                <w:szCs w:val="10"/>
                <w:color w:val="auto"/>
              </w:rPr>
            </w:pPr>
          </w:p>
        </w:tc>
        <w:tc>
          <w:tcPr>
            <w:tcW w:w="1000" w:type="dxa"/>
            <w:vAlign w:val="bottom"/>
          </w:tcPr>
          <w:p>
            <w:pPr>
              <w:jc w:val="center"/>
              <w:ind w:right="103"/>
              <w:spacing w:after="0" w:line="117"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80" w:type="dxa"/>
            <w:vAlign w:val="bottom"/>
          </w:tcPr>
          <w:p>
            <w:pPr>
              <w:spacing w:after="0"/>
              <w:rPr>
                <w:sz w:val="13"/>
                <w:szCs w:val="13"/>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3"/>
                <w:szCs w:val="13"/>
                <w:color w:val="auto"/>
              </w:rPr>
            </w:pPr>
          </w:p>
        </w:tc>
        <w:tc>
          <w:tcPr>
            <w:tcW w:w="10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5"/>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June 30, 2026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20,725,814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419,832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107,032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(67,931)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569,688</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22,808</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(54,266)</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dividends declared ($0.33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(7,010)</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dividends declared ($19.375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repurchased, including excise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0" w:type="dxa"/>
            <w:vAlign w:val="bottom"/>
          </w:tcPr>
          <w:p>
            <w:pPr>
              <w:spacing w:after="0"/>
              <w:rPr>
                <w:sz w:val="1"/>
                <w:szCs w:val="1"/>
                <w:color w:val="auto"/>
              </w:rPr>
            </w:pPr>
          </w:p>
        </w:tc>
      </w:tr>
      <w:tr>
        <w:trPr>
          <w:trHeight w:val="19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20,801,859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120,601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531,367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December 31,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21,169,854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428,247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565,499</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(61,864)</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dividends declared ($0.97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(20,698)</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dividends declared ($58.125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repurchased, including excise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(479,216)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(10,657)</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2,330</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111,221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w:t>
            </w:r>
          </w:p>
        </w:tc>
        <w:tc>
          <w:tcPr>
            <w:tcW w:w="0" w:type="dxa"/>
            <w:vAlign w:val="bottom"/>
          </w:tcPr>
          <w:p>
            <w:pPr>
              <w:spacing w:after="0"/>
              <w:rPr>
                <w:sz w:val="1"/>
                <w:szCs w:val="1"/>
                <w:color w:val="auto"/>
              </w:rPr>
            </w:pPr>
          </w:p>
        </w:tc>
      </w:tr>
      <w:tr>
        <w:trPr>
          <w:trHeight w:val="19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20,801,859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120,601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531,367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June 30,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21,515,138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573,705</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7,557</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11,022</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dividends declared ($0.32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(7,017)</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dividends declared ($19.375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0" w:type="dxa"/>
            <w:vAlign w:val="bottom"/>
          </w:tcPr>
          <w:p>
            <w:pPr>
              <w:spacing w:after="0"/>
              <w:rPr>
                <w:sz w:val="1"/>
                <w:szCs w:val="1"/>
                <w:color w:val="auto"/>
              </w:rPr>
            </w:pPr>
          </w:p>
        </w:tc>
      </w:tr>
      <w:tr>
        <w:trPr>
          <w:trHeight w:val="170"/>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21,543,557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437,168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99,036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584,001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21,494,485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434,346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247,698</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(81,960)</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710,847</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18,994</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dividends declared ($0.94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(20,584)</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dividends declared ($58.125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0" w:type="dxa"/>
            <w:vAlign w:val="bottom"/>
          </w:tcPr>
          <w:p>
            <w:pPr>
              <w:spacing w:after="0"/>
              <w:rPr>
                <w:sz w:val="1"/>
                <w:szCs w:val="1"/>
                <w:color w:val="auto"/>
              </w:rPr>
            </w:pPr>
          </w:p>
        </w:tc>
      </w:tr>
      <w:tr>
        <w:trPr>
          <w:trHeight w:val="17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w:t>
            </w:r>
          </w:p>
        </w:tc>
        <w:tc>
          <w:tcPr>
            <w:tcW w:w="0" w:type="dxa"/>
            <w:vAlign w:val="bottom"/>
          </w:tcPr>
          <w:p>
            <w:pPr>
              <w:spacing w:after="0"/>
              <w:rPr>
                <w:sz w:val="1"/>
                <w:szCs w:val="1"/>
                <w:color w:val="auto"/>
              </w:rPr>
            </w:pPr>
          </w:p>
        </w:tc>
      </w:tr>
      <w:tr>
        <w:trPr>
          <w:trHeight w:val="160"/>
        </w:trPr>
        <w:tc>
          <w:tcPr>
            <w:tcW w:w="3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benefit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49,072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0" w:type="dxa"/>
            <w:vAlign w:val="bottom"/>
          </w:tcPr>
          <w:p>
            <w:pPr>
              <w:spacing w:after="0"/>
              <w:rPr>
                <w:sz w:val="1"/>
                <w:szCs w:val="1"/>
                <w:color w:val="auto"/>
              </w:rPr>
            </w:pPr>
          </w:p>
        </w:tc>
      </w:tr>
      <w:tr>
        <w:trPr>
          <w:trHeight w:val="19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21,543,557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437,168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584,001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MIDLAND STATES BANCORP,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 (UNAUDITED)</w:t>
      </w: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60" w:type="dxa"/>
            <w:vAlign w:val="bottom"/>
            <w:shd w:val="clear" w:color="auto" w:fill="CCEEFF"/>
          </w:tcPr>
          <w:p>
            <w:pPr>
              <w:spacing w:after="0"/>
              <w:rPr>
                <w:sz w:val="13"/>
                <w:szCs w:val="13"/>
                <w:color w:val="auto"/>
              </w:rPr>
            </w:pPr>
          </w:p>
        </w:tc>
        <w:tc>
          <w:tcPr>
            <w:tcW w:w="2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480" w:type="dxa"/>
            <w:vAlign w:val="bottom"/>
            <w:tcBorders>
              <w:bottom w:val="single" w:sz="8" w:color="auto"/>
            </w:tcBorders>
            <w:shd w:val="clear" w:color="auto" w:fill="CCEEFF"/>
          </w:tcPr>
          <w:p>
            <w:pPr>
              <w:spacing w:after="0"/>
              <w:rPr>
                <w:sz w:val="13"/>
                <w:szCs w:val="13"/>
                <w:color w:val="auto"/>
              </w:rPr>
            </w:pPr>
          </w:p>
        </w:tc>
      </w:tr>
      <w:tr>
        <w:trPr>
          <w:trHeight w:val="145"/>
        </w:trPr>
        <w:tc>
          <w:tcPr>
            <w:tcW w:w="86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2"/>
                <w:szCs w:val="12"/>
                <w:color w:val="auto"/>
              </w:rPr>
            </w:pPr>
          </w:p>
        </w:tc>
      </w:tr>
      <w:tr>
        <w:trPr>
          <w:trHeight w:val="14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100" w:type="dxa"/>
            <w:vAlign w:val="bottom"/>
          </w:tcPr>
          <w:p>
            <w:pPr>
              <w:spacing w:after="0"/>
              <w:rPr>
                <w:sz w:val="13"/>
                <w:szCs w:val="13"/>
                <w:color w:val="auto"/>
              </w:rPr>
            </w:pP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(121,393)</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15,557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48,224</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on premises and equipment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3,672</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on goodwill</w:t>
            </w:r>
          </w:p>
        </w:tc>
        <w:tc>
          <w:tcPr>
            <w:tcW w:w="7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153,977</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operating lease right-of-use asset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loan servicing rights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Increase in cash surrender value of life insurance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(6,149)</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 securities accretion, net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(10,287)</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 loss on sales of investment securities, net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Origination of loans held for sale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(79,214)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(75,176)</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sales of loans and leases held for sale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83,885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107,025</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Gain on sale of loans held for sale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 on sale of mortgage servicing rights held for sale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change in operating assets and liabilities: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4"/>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interest receivable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w:t>
            </w:r>
          </w:p>
        </w:tc>
      </w:tr>
      <w:tr>
        <w:trPr>
          <w:trHeight w:val="154"/>
        </w:trPr>
        <w:tc>
          <w:tcPr>
            <w:tcW w:w="8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Credit enhancement asset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11,039</w:t>
            </w:r>
          </w:p>
        </w:tc>
      </w:tr>
      <w:tr>
        <w:trPr>
          <w:trHeight w:val="164"/>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assets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22,487</w:t>
            </w:r>
          </w:p>
        </w:tc>
      </w:tr>
      <w:tr>
        <w:trPr>
          <w:trHeight w:val="154"/>
        </w:trPr>
        <w:tc>
          <w:tcPr>
            <w:tcW w:w="8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(6,767)</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(4,905)</w:t>
            </w:r>
          </w:p>
        </w:tc>
      </w:tr>
      <w:tr>
        <w:trPr>
          <w:trHeight w:val="155"/>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84,810</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132,741</w:t>
            </w:r>
          </w:p>
        </w:tc>
      </w:tr>
      <w:tr>
        <w:trPr>
          <w:trHeight w:val="134"/>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investment securities available for sale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(795,068)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(400,318)</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sales of investment securities available for sale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98,599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103,759</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Maturities and payments on investment securities available for sale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229,778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164,437</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Purchases of equity securities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decrease in loans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42,577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487,562</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sales of consumer loans held for sale</w:t>
            </w:r>
          </w:p>
        </w:tc>
        <w:tc>
          <w:tcPr>
            <w:tcW w:w="7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61,099</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premises and equipment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(4,606)</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sale of premises and equipment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nonmarketable equity securities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(13,945)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(107,172)</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redemptions of nonmarketable equity securities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103,624</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sales of mortgage servicing rights held for sale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sales of other real estate owned</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company-owned life insurance, net</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w:t>
            </w:r>
          </w:p>
        </w:tc>
      </w:tr>
      <w:tr>
        <w:trPr>
          <w:trHeight w:val="145"/>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7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(421,629)</w:t>
            </w: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414,173</w:t>
            </w:r>
          </w:p>
        </w:tc>
      </w:tr>
      <w:tr>
        <w:trPr>
          <w:trHeight w:val="14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increase (decrease) in deposits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193,059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(592,418)</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increase in short-term borrowings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91,318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59,267</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increase in short-term FHLB advances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130,000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long-term FHLB advances</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328,000</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Payments made on long-term FHLB advances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(273,000)</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Payments and subordinated debt redemption</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(50,750)</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dividends paid on preferred stock</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(6,685)</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dividends paid on common stock</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(20,698)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(20,584)</w:t>
            </w: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repurchased, including excise tax</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issuance of common stock under employee benefit plans</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2,283</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w:t>
            </w:r>
          </w:p>
        </w:tc>
      </w:tr>
      <w:tr>
        <w:trPr>
          <w:trHeight w:val="145"/>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308,620</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(495,533)</w:t>
            </w:r>
          </w:p>
        </w:tc>
      </w:tr>
      <w:tr>
        <w:trPr>
          <w:trHeight w:val="155"/>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(28,199)</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51,381</w:t>
            </w:r>
          </w:p>
        </w:tc>
      </w:tr>
      <w:tr>
        <w:trPr>
          <w:trHeight w:val="154"/>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Beginning of period</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127,811</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114,766</w:t>
            </w:r>
          </w:p>
        </w:tc>
      </w:tr>
      <w:tr>
        <w:trPr>
          <w:trHeight w:val="150"/>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End of period</w:t>
            </w:r>
          </w:p>
        </w:tc>
        <w:tc>
          <w:tcPr>
            <w:tcW w:w="78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99,612</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166,147</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26"/>
        </w:trPr>
        <w:tc>
          <w:tcPr>
            <w:tcW w:w="866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Supplemental disclosures of cash flow information:</w:t>
            </w:r>
          </w:p>
        </w:tc>
        <w:tc>
          <w:tcPr>
            <w:tcW w:w="7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54"/>
        </w:trPr>
        <w:tc>
          <w:tcPr>
            <w:tcW w:w="8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payments for:</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paid on deposits and borrowed funds</w:t>
            </w:r>
          </w:p>
        </w:tc>
        <w:tc>
          <w:tcPr>
            <w:tcW w:w="78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123,045</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tax paid (net of refunds)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w:t>
            </w:r>
          </w:p>
        </w:tc>
      </w:tr>
      <w:tr>
        <w:trPr>
          <w:trHeight w:val="164"/>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Supplemental disclosures of noncash investing and financing activities: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Transfer of loans to loans held for sale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29,400</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Transfer of loans to other real estate owned</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Right of use assets obtained in exchange for lease obligations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Transfer of premises and equipment, net to assets held for sale</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r>
      <w:tr>
        <w:trPr>
          <w:trHeight w:val="154"/>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Transfer of loan servicing rights held for sale to loan servicing rights, at lower of cost or fair value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provided for sale of consumer loans held for sale</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219,212</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consolidated financial statements</w:t>
      </w:r>
      <w:r>
        <w:rPr>
          <w:rFonts w:ascii="Times New Roman" w:cs="Times New Roman" w:eastAsia="Times New Roman" w:hAnsi="Times New Roman"/>
          <w:sz w:val="11"/>
          <w:szCs w:val="11"/>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60" w:type="dxa"/>
            <w:vAlign w:val="bottom"/>
          </w:tcPr>
          <w:p>
            <w:pPr>
              <w:jc w:val="center"/>
              <w:ind w:right="1482"/>
              <w:spacing w:after="0"/>
              <w:rPr>
                <w:sz w:val="20"/>
                <w:szCs w:val="20"/>
                <w:color w:val="auto"/>
              </w:rPr>
            </w:pPr>
            <w:r>
              <w:rPr>
                <w:rFonts w:ascii="Times New Roman" w:cs="Times New Roman" w:eastAsia="Times New Roman" w:hAnsi="Times New Roman"/>
                <w:sz w:val="16"/>
                <w:szCs w:val="16"/>
                <w:b w:val="1"/>
                <w:bCs w:val="1"/>
                <w:color w:val="auto"/>
                <w:w w:val="95"/>
              </w:rPr>
              <w:t>MIDLAND STATES BANCORP, INC.</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61"/>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60" w:type="dxa"/>
            <w:vAlign w:val="bottom"/>
            <w:gridSpan w:val="2"/>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(UNAUDITED)</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07"/>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59"/>
        </w:trPr>
        <w:tc>
          <w:tcPr>
            <w:tcW w:w="20" w:type="dxa"/>
            <w:vAlign w:val="bottom"/>
            <w:shd w:val="clear" w:color="auto" w:fill="CCEEFF"/>
          </w:tcPr>
          <w:p>
            <w:pPr>
              <w:spacing w:after="0"/>
              <w:rPr>
                <w:sz w:val="13"/>
                <w:szCs w:val="13"/>
                <w:color w:val="auto"/>
              </w:rPr>
            </w:pPr>
          </w:p>
        </w:tc>
        <w:tc>
          <w:tcPr>
            <w:tcW w:w="3000" w:type="dxa"/>
            <w:vAlign w:val="bottom"/>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Note 1: Summary of Significant Accounting Policies</w:t>
            </w:r>
          </w:p>
        </w:tc>
        <w:tc>
          <w:tcPr>
            <w:tcW w:w="6380" w:type="dxa"/>
            <w:vAlign w:val="bottom"/>
            <w:gridSpan w:val="3"/>
            <w:shd w:val="clear" w:color="auto" w:fill="CCEEFF"/>
          </w:tcPr>
          <w:p>
            <w:pPr>
              <w:spacing w:after="0"/>
              <w:rPr>
                <w:sz w:val="13"/>
                <w:szCs w:val="13"/>
                <w:color w:val="auto"/>
              </w:rPr>
            </w:pPr>
          </w:p>
        </w:tc>
        <w:tc>
          <w:tcPr>
            <w:tcW w:w="1460" w:type="dxa"/>
            <w:vAlign w:val="bottom"/>
            <w:gridSpan w:val="2"/>
            <w:shd w:val="clear" w:color="auto" w:fill="CCEEFF"/>
          </w:tcPr>
          <w:p>
            <w:pPr>
              <w:ind w:left="1320"/>
              <w:spacing w:after="0" w:line="159" w:lineRule="exact"/>
              <w:rPr>
                <w:sz w:val="20"/>
                <w:szCs w:val="20"/>
                <w:color w:val="auto"/>
              </w:rPr>
            </w:pPr>
            <w:r>
              <w:rPr>
                <w:rFonts w:ascii="Times New Roman" w:cs="Times New Roman" w:eastAsia="Times New Roman" w:hAnsi="Times New Roman"/>
                <w:sz w:val="14"/>
                <w:szCs w:val="14"/>
                <w:color w:val="0000FF"/>
              </w:rPr>
              <w:t>8</w:t>
            </w:r>
          </w:p>
        </w:tc>
        <w:tc>
          <w:tcPr>
            <w:tcW w:w="4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68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0000FF"/>
                <w:w w:val="98"/>
              </w:rPr>
              <w:t>Note 2: Investment Securities</w:t>
            </w:r>
          </w:p>
        </w:tc>
        <w:tc>
          <w:tcPr>
            <w:tcW w:w="1320" w:type="dxa"/>
            <w:vAlign w:val="bottom"/>
            <w:gridSpan w:val="6"/>
          </w:tcPr>
          <w:p>
            <w:pPr>
              <w:spacing w:after="0"/>
              <w:rPr>
                <w:sz w:val="13"/>
                <w:szCs w:val="13"/>
                <w:color w:val="auto"/>
              </w:rPr>
            </w:pPr>
          </w:p>
        </w:tc>
        <w:tc>
          <w:tcPr>
            <w:tcW w:w="6380" w:type="dxa"/>
            <w:vAlign w:val="bottom"/>
            <w:gridSpan w:val="3"/>
          </w:tcPr>
          <w:p>
            <w:pPr>
              <w:spacing w:after="0"/>
              <w:rPr>
                <w:sz w:val="13"/>
                <w:szCs w:val="13"/>
                <w:color w:val="auto"/>
              </w:rPr>
            </w:pP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10</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3: Loans</w:t>
            </w:r>
          </w:p>
        </w:tc>
        <w:tc>
          <w:tcPr>
            <w:tcW w:w="7700" w:type="dxa"/>
            <w:vAlign w:val="bottom"/>
            <w:tcBorders>
              <w:left w:val="single" w:sz="8" w:color="CCEEFF"/>
            </w:tcBorders>
            <w:gridSpan w:val="9"/>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12</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2320" w:type="dxa"/>
            <w:vAlign w:val="bottom"/>
            <w:gridSpan w:val="7"/>
          </w:tcPr>
          <w:p>
            <w:pPr>
              <w:spacing w:after="0" w:line="159" w:lineRule="exact"/>
              <w:rPr>
                <w:sz w:val="20"/>
                <w:szCs w:val="20"/>
                <w:color w:val="auto"/>
              </w:rPr>
            </w:pPr>
            <w:r>
              <w:rPr>
                <w:rFonts w:ascii="Times New Roman" w:cs="Times New Roman" w:eastAsia="Times New Roman" w:hAnsi="Times New Roman"/>
                <w:sz w:val="14"/>
                <w:szCs w:val="14"/>
                <w:color w:val="0000FF"/>
              </w:rPr>
              <w:t>Note 4: Premises, Equipment and Leases</w:t>
            </w:r>
          </w:p>
        </w:tc>
        <w:tc>
          <w:tcPr>
            <w:tcW w:w="7060" w:type="dxa"/>
            <w:vAlign w:val="bottom"/>
            <w:gridSpan w:val="6"/>
          </w:tcPr>
          <w:p>
            <w:pPr>
              <w:spacing w:after="0"/>
              <w:rPr>
                <w:sz w:val="13"/>
                <w:szCs w:val="13"/>
                <w:color w:val="auto"/>
              </w:rPr>
            </w:pP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29</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2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5: Goodwill</w:t>
            </w:r>
          </w:p>
        </w:tc>
        <w:tc>
          <w:tcPr>
            <w:tcW w:w="7060" w:type="dxa"/>
            <w:vAlign w:val="bottom"/>
            <w:gridSpan w:val="6"/>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30</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76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0000FF"/>
                <w:w w:val="98"/>
              </w:rPr>
              <w:t>Note 6: Derivative Instruments</w:t>
            </w:r>
          </w:p>
        </w:tc>
        <w:tc>
          <w:tcPr>
            <w:tcW w:w="7620" w:type="dxa"/>
            <w:vAlign w:val="bottom"/>
            <w:gridSpan w:val="8"/>
          </w:tcPr>
          <w:p>
            <w:pPr>
              <w:spacing w:after="0"/>
              <w:rPr>
                <w:sz w:val="13"/>
                <w:szCs w:val="13"/>
                <w:color w:val="auto"/>
              </w:rPr>
            </w:pP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30</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1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7: Deposits</w:t>
            </w:r>
          </w:p>
        </w:tc>
        <w:tc>
          <w:tcPr>
            <w:tcW w:w="7620" w:type="dxa"/>
            <w:vAlign w:val="bottom"/>
            <w:tcBorders>
              <w:left w:val="single" w:sz="8" w:color="CCEEFF"/>
            </w:tcBorders>
            <w:gridSpan w:val="8"/>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33</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938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0000FF"/>
              </w:rPr>
              <w:t>Note 8: Short-Term Borrowings</w:t>
            </w: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33</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1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9: FHLB Advances</w:t>
            </w:r>
          </w:p>
        </w:tc>
        <w:tc>
          <w:tcPr>
            <w:tcW w:w="7620" w:type="dxa"/>
            <w:vAlign w:val="bottom"/>
            <w:tcBorders>
              <w:left w:val="single" w:sz="8" w:color="CCEEFF"/>
            </w:tcBorders>
            <w:gridSpan w:val="8"/>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34</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342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Note 10: Accumulated Other Comprehensive Income (Loss)</w:t>
            </w:r>
          </w:p>
        </w:tc>
        <w:tc>
          <w:tcPr>
            <w:tcW w:w="5960" w:type="dxa"/>
            <w:vAlign w:val="bottom"/>
          </w:tcPr>
          <w:p>
            <w:pPr>
              <w:spacing w:after="0"/>
              <w:rPr>
                <w:sz w:val="13"/>
                <w:szCs w:val="13"/>
                <w:color w:val="auto"/>
              </w:rPr>
            </w:pP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35</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2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w w:val="99"/>
              </w:rPr>
              <w:t>Note 11: Earnings per Common Share</w:t>
            </w:r>
          </w:p>
        </w:tc>
        <w:tc>
          <w:tcPr>
            <w:tcW w:w="1260" w:type="dxa"/>
            <w:vAlign w:val="bottom"/>
            <w:gridSpan w:val="6"/>
            <w:shd w:val="clear" w:color="auto" w:fill="CCEEFF"/>
          </w:tcPr>
          <w:p>
            <w:pPr>
              <w:spacing w:after="0"/>
              <w:rPr>
                <w:sz w:val="14"/>
                <w:szCs w:val="14"/>
                <w:color w:val="auto"/>
              </w:rPr>
            </w:pPr>
          </w:p>
        </w:tc>
        <w:tc>
          <w:tcPr>
            <w:tcW w:w="59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36</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9380" w:type="dxa"/>
            <w:vAlign w:val="bottom"/>
            <w:gridSpan w:val="13"/>
          </w:tcPr>
          <w:p>
            <w:pPr>
              <w:spacing w:after="0" w:line="159" w:lineRule="exact"/>
              <w:rPr>
                <w:sz w:val="20"/>
                <w:szCs w:val="20"/>
                <w:color w:val="auto"/>
              </w:rPr>
            </w:pPr>
            <w:r>
              <w:rPr>
                <w:rFonts w:ascii="Times New Roman" w:cs="Times New Roman" w:eastAsia="Times New Roman" w:hAnsi="Times New Roman"/>
                <w:sz w:val="14"/>
                <w:szCs w:val="14"/>
                <w:color w:val="0000FF"/>
              </w:rPr>
              <w:t>Note 12: Fair Value of Financial Instruments</w:t>
            </w: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36</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93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13: Commitments, Contingencies and Credit Risk</w:t>
            </w: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41</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68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0000FF"/>
                <w:w w:val="95"/>
              </w:rPr>
              <w:t>Note 14: Segment Information</w:t>
            </w:r>
          </w:p>
        </w:tc>
        <w:tc>
          <w:tcPr>
            <w:tcW w:w="1440" w:type="dxa"/>
            <w:vAlign w:val="bottom"/>
            <w:gridSpan w:val="7"/>
          </w:tcPr>
          <w:p>
            <w:pPr>
              <w:spacing w:after="0"/>
              <w:rPr>
                <w:sz w:val="13"/>
                <w:szCs w:val="13"/>
                <w:color w:val="auto"/>
              </w:rPr>
            </w:pPr>
          </w:p>
        </w:tc>
        <w:tc>
          <w:tcPr>
            <w:tcW w:w="6260" w:type="dxa"/>
            <w:vAlign w:val="bottom"/>
            <w:gridSpan w:val="2"/>
          </w:tcPr>
          <w:p>
            <w:pPr>
              <w:spacing w:after="0"/>
              <w:rPr>
                <w:sz w:val="13"/>
                <w:szCs w:val="13"/>
                <w:color w:val="auto"/>
              </w:rPr>
            </w:pPr>
          </w:p>
        </w:tc>
        <w:tc>
          <w:tcPr>
            <w:tcW w:w="1460" w:type="dxa"/>
            <w:vAlign w:val="bottom"/>
            <w:gridSpan w:val="2"/>
          </w:tcPr>
          <w:p>
            <w:pPr>
              <w:ind w:left="1320"/>
              <w:spacing w:after="0" w:line="159" w:lineRule="exact"/>
              <w:rPr>
                <w:sz w:val="20"/>
                <w:szCs w:val="20"/>
                <w:color w:val="auto"/>
              </w:rPr>
            </w:pPr>
            <w:r>
              <w:rPr>
                <w:rFonts w:ascii="Times New Roman" w:cs="Times New Roman" w:eastAsia="Times New Roman" w:hAnsi="Times New Roman"/>
                <w:sz w:val="14"/>
                <w:szCs w:val="14"/>
                <w:color w:val="0000FF"/>
                <w:w w:val="85"/>
              </w:rPr>
              <w:t>42</w:t>
            </w:r>
          </w:p>
        </w:tc>
        <w:tc>
          <w:tcPr>
            <w:tcW w:w="420" w:type="dxa"/>
            <w:vAlign w:val="bottom"/>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28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0000FF"/>
              </w:rPr>
              <w:t>Note 15: Revenue from Contracts with Customers</w:t>
            </w:r>
          </w:p>
        </w:tc>
        <w:tc>
          <w:tcPr>
            <w:tcW w:w="6540" w:type="dxa"/>
            <w:vAlign w:val="bottom"/>
            <w:gridSpan w:val="4"/>
            <w:shd w:val="clear" w:color="auto" w:fill="CCEEFF"/>
          </w:tcPr>
          <w:p>
            <w:pPr>
              <w:spacing w:after="0"/>
              <w:rPr>
                <w:sz w:val="14"/>
                <w:szCs w:val="14"/>
                <w:color w:val="auto"/>
              </w:rPr>
            </w:pP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0000FF"/>
                <w:w w:val="85"/>
              </w:rPr>
              <w:t>45</w:t>
            </w:r>
          </w:p>
        </w:tc>
        <w:tc>
          <w:tcPr>
            <w:tcW w:w="420" w:type="dxa"/>
            <w:vAlign w:val="bottom"/>
            <w:shd w:val="clear" w:color="auto" w:fill="CCEEFF"/>
          </w:tcPr>
          <w:p>
            <w:pPr>
              <w:spacing w:after="0"/>
              <w:rPr>
                <w:sz w:val="14"/>
                <w:szCs w:val="14"/>
                <w:color w:val="auto"/>
              </w:rPr>
            </w:pPr>
          </w:p>
        </w:tc>
      </w:tr>
      <w:tr>
        <w:trPr>
          <w:trHeight w:val="32"/>
        </w:trPr>
        <w:tc>
          <w:tcPr>
            <w:tcW w:w="20" w:type="dxa"/>
            <w:vAlign w:val="bottom"/>
            <w:shd w:val="clear" w:color="auto" w:fill="CCEE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3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9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Midland States Bancorp, Inc. is a diversified financial holding company headquartered in Effingham, Illinois. Our wholly owned banking subsidiary, Midland States Bank, has branches across Illinois and in Missouri, and provides a full range of commercial and consumer banking products and services, merchant credit card services, trust and investment management services, and insurance and financial planning services.</w:t>
      </w:r>
    </w:p>
    <w:p>
      <w:pPr>
        <w:spacing w:after="0" w:line="13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Our principal business activity is lending to and accepting deposits from individuals, businesses, municipalities and other entities. We have derived income principally from interest charged on loans and, to a lesser extent, from interest and dividends earned on investment securities. We have also derived income from noninterest sources, such as: fees received in connection with various lending and deposit services; wealth management services; mortgage loan originations, sales and servicing; and, from time to time, gains on sales of assets. Our principal expenses include interest expense on deposits and borrowings, operating expenses, such as salaries and employee benefits, occupancy and equipment expenses, data processing costs, professional fees and other noninterest expenses, provisions for credit losses and income taxes.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GAAP and guidance provided by the SEC for interim financial information. Accordingly, the condensed financial statements do not include all of the information and footnotes required by GAAP for completed financial statements. The consolidated financial statements reflect all adjustments, consisting of normal recurring adjustments, that, in the opinion of management, are necessary to present fairly the results for the periods presented. The preparation of consolidated financial statements in conformity with GAAP requires management to make estimates and assumptions that affect the amounts reported in the consolidated financial statements and accompanying notes. Actual results may differ from these estimates.</w:t>
      </w:r>
    </w:p>
    <w:p>
      <w:pPr>
        <w:spacing w:after="0" w:line="14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color w:val="auto"/>
        </w:rPr>
        <w:t>The consolidated financial statements of the Company should be read in conjunction with the consolidated financial statements and related notes contained in the Company’s Annual Report on Form 10-K for the year ended December 31, 2025, filed with the SEC on March 2, 2026. Certain reclassifications of 2025 amounts have been made to conform to the 2026 presentation. All significant transactions and accounts between subsidiaries have been eliminated. Assets held for customers in a fiduciary or agency capacity are not assets of the Company and, accordingly, other than trust cash on deposit with the Bank, are not included in the accompanying unaudited balance sheets. Management has evaluated subsequent events for potential recognition or disclosure. Operating results for the three and nine months ended September 30, 2026 are not necessarily indicative of the results that may be expected for the year ending December 31, 2026 or any other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Guidance Not Yet Adopted</w:t>
      </w:r>
    </w:p>
    <w:p>
      <w:pPr>
        <w:spacing w:after="0" w:line="9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FASB ASU No. 2024-03, Income Statement - Reporting Comprehensive Income - Expense Disaggregation Disclosures (Subtopic 220-40): Disaggregation of Income Statement Expenses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November 2024, the FASB issued ASU 2024-03 in order to improve the disclosures about a public business entity's expenses and address requests from investors for more detailed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information about the types of expenses in commonly presented expense captions. The amendments in ASU 2024-03 require disclosure, in the notes to the financial statements, of specified information about certain costs and expenses in interim and year-end reporting periods. The amendments in this ASU apply to all public business entities and are effective for annual reporting periods beginning after December 15, 2026, and interim reporting periods beginning after December 15, 2027. Early adoption is permitted. The amendments are to be applied either (1) prospectively to financial statements issued for reporting periods after the effective date or (2) retrospectively to any or all prior periods presented in the financial statements. The Company will update the related disclosures upon adoption.</w:t>
      </w:r>
    </w:p>
    <w:p>
      <w:pPr>
        <w:spacing w:after="0" w:line="163"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FASB ASU No. 2025-06, Intangibles - Goodwill and Other--Internal-Use Software (Subtopic 350-40): Targeted Improvements to the Accounting for Internal-Use Software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September 2025, the FASB issued ASU 2025-06, changing the criteria for capitalizing software costs to the following: (1) a commitment has been made to fund the software project, and (2) it is probable the project will be completed and used to perform its intended function. Under this update, software development stages are no longer a consideration in the determination of which costs are capitalized. The amendments in this update may be adopted on a prospective, modified transition, or retrospective basis, and will be effective for the Company for annual and interim reporting periods beginning January 1, 2028. Early adoption is permitted. The Company is currently evaluating the effect this ASU may have on its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INVESTMENT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Securities Available for Sale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Investment securities available for sale at September 30, 2026 and December 31, 2025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900" w:type="dxa"/>
            <w:vAlign w:val="bottom"/>
          </w:tcPr>
          <w:p>
            <w:pPr>
              <w:jc w:val="center"/>
              <w:ind w:left="283"/>
              <w:spacing w:after="0" w:line="119"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0"/>
                <w:szCs w:val="10"/>
                <w:color w:val="auto"/>
              </w:rPr>
            </w:pPr>
          </w:p>
        </w:tc>
        <w:tc>
          <w:tcPr>
            <w:tcW w:w="94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15"/>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tcPr>
          <w:p>
            <w:pPr>
              <w:jc w:val="center"/>
              <w:ind w:left="263"/>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cost</w:t>
            </w:r>
          </w:p>
        </w:tc>
        <w:tc>
          <w:tcPr>
            <w:tcW w:w="9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80" w:type="dxa"/>
            <w:vAlign w:val="bottom"/>
          </w:tcPr>
          <w:p>
            <w:pPr>
              <w:spacing w:after="0"/>
              <w:rPr>
                <w:sz w:val="13"/>
                <w:szCs w:val="13"/>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4"/>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Treasury securities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6,434</w:t>
            </w:r>
          </w:p>
        </w:tc>
        <w:tc>
          <w:tcPr>
            <w:tcW w:w="100" w:type="dxa"/>
            <w:vAlign w:val="bottom"/>
          </w:tcPr>
          <w:p>
            <w:pPr>
              <w:spacing w:after="0"/>
              <w:rPr>
                <w:sz w:val="13"/>
                <w:szCs w:val="13"/>
                <w:color w:val="auto"/>
              </w:rPr>
            </w:pPr>
          </w:p>
        </w:tc>
        <w:tc>
          <w:tcPr>
            <w:tcW w:w="900" w:type="dxa"/>
            <w:vAlign w:val="bottom"/>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6,434</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65,792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62,290</w:t>
            </w:r>
          </w:p>
        </w:tc>
        <w:tc>
          <w:tcPr>
            <w:tcW w:w="0" w:type="dxa"/>
            <w:vAlign w:val="bottom"/>
          </w:tcPr>
          <w:p>
            <w:pPr>
              <w:spacing w:after="0"/>
              <w:rPr>
                <w:sz w:val="1"/>
                <w:szCs w:val="1"/>
                <w:color w:val="auto"/>
              </w:rPr>
            </w:pPr>
          </w:p>
        </w:tc>
      </w:tr>
      <w:tr>
        <w:trPr>
          <w:trHeight w:val="17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Mortgage-backed securities - agency </w:t>
            </w:r>
            <w:r>
              <w:rPr>
                <w:rFonts w:ascii="Times New Roman" w:cs="Times New Roman" w:eastAsia="Times New Roman" w:hAnsi="Times New Roman"/>
                <w:sz w:val="14"/>
                <w:szCs w:val="14"/>
                <w:color w:val="auto"/>
                <w:vertAlign w:val="superscript"/>
              </w:rPr>
              <w:t>(1)</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1,491,028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1,342,675</w:t>
            </w:r>
          </w:p>
        </w:tc>
        <w:tc>
          <w:tcPr>
            <w:tcW w:w="0" w:type="dxa"/>
            <w:vAlign w:val="bottom"/>
          </w:tcPr>
          <w:p>
            <w:pPr>
              <w:spacing w:after="0"/>
              <w:rPr>
                <w:sz w:val="1"/>
                <w:szCs w:val="1"/>
                <w:color w:val="auto"/>
              </w:rPr>
            </w:pPr>
          </w:p>
        </w:tc>
      </w:tr>
      <w:tr>
        <w:trPr>
          <w:trHeight w:val="170"/>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113,025</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108,554</w:t>
            </w: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18,419</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18,346</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74,542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66,094</w:t>
            </w: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236,704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236,718</w:t>
            </w:r>
          </w:p>
        </w:tc>
        <w:tc>
          <w:tcPr>
            <w:tcW w:w="0" w:type="dxa"/>
            <w:vAlign w:val="bottom"/>
          </w:tcPr>
          <w:p>
            <w:pPr>
              <w:spacing w:after="0"/>
              <w:rPr>
                <w:sz w:val="1"/>
                <w:szCs w:val="1"/>
                <w:color w:val="auto"/>
              </w:rPr>
            </w:pPr>
          </w:p>
        </w:tc>
      </w:tr>
      <w:tr>
        <w:trPr>
          <w:trHeight w:val="170"/>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65,232</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64,083</w:t>
            </w:r>
          </w:p>
        </w:tc>
        <w:tc>
          <w:tcPr>
            <w:tcW w:w="0" w:type="dxa"/>
            <w:vAlign w:val="bottom"/>
          </w:tcPr>
          <w:p>
            <w:pPr>
              <w:spacing w:after="0"/>
              <w:rPr>
                <w:sz w:val="1"/>
                <w:szCs w:val="1"/>
                <w:color w:val="auto"/>
              </w:rPr>
            </w:pPr>
          </w:p>
        </w:tc>
      </w:tr>
      <w:tr>
        <w:trPr>
          <w:trHeight w:val="170"/>
        </w:trPr>
        <w:tc>
          <w:tcPr>
            <w:tcW w:w="60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available for sale securities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2,071,176</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8,781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(174,763)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1,905,194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260" w:right="480" w:hanging="255"/>
        <w:spacing w:after="0" w:line="303" w:lineRule="auto"/>
        <w:tabs>
          <w:tab w:leader="none" w:pos="254"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amount of fair value hedging adjustment included in the amortized cost amount of the hedged investment securities available-for-sale as of September 30, 2026 was $7.4 million. See Note 6 - </w:t>
      </w:r>
      <w:r>
        <w:rPr>
          <w:rFonts w:ascii="Times New Roman" w:cs="Times New Roman" w:eastAsia="Times New Roman" w:hAnsi="Times New Roman"/>
          <w:sz w:val="11"/>
          <w:szCs w:val="11"/>
          <w:i w:val="1"/>
          <w:iCs w:val="1"/>
          <w:color w:val="auto"/>
        </w:rPr>
        <w:t>Derivative Instruments</w:t>
      </w:r>
      <w:r>
        <w:rPr>
          <w:rFonts w:ascii="Times New Roman" w:cs="Times New Roman" w:eastAsia="Times New Roman" w:hAnsi="Times New Roman"/>
          <w:sz w:val="11"/>
          <w:szCs w:val="11"/>
          <w:color w:val="auto"/>
        </w:rPr>
        <w:t xml:space="preserve"> for additional information regarding these derivative financial instruments.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900" w:type="dxa"/>
            <w:vAlign w:val="bottom"/>
          </w:tcPr>
          <w:p>
            <w:pPr>
              <w:jc w:val="center"/>
              <w:ind w:left="283"/>
              <w:spacing w:after="0" w:line="117"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0"/>
                <w:szCs w:val="10"/>
                <w:color w:val="auto"/>
              </w:rPr>
            </w:pPr>
          </w:p>
        </w:tc>
        <w:tc>
          <w:tcPr>
            <w:tcW w:w="94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17"/>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jc w:val="center"/>
              <w:ind w:left="263"/>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cost</w:t>
            </w:r>
          </w:p>
        </w:tc>
        <w:tc>
          <w:tcPr>
            <w:tcW w:w="9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80" w:type="dxa"/>
            <w:vAlign w:val="bottom"/>
          </w:tcPr>
          <w:p>
            <w:pPr>
              <w:spacing w:after="0"/>
              <w:rPr>
                <w:sz w:val="13"/>
                <w:szCs w:val="13"/>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5"/>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20,744</w:t>
            </w:r>
          </w:p>
        </w:tc>
        <w:tc>
          <w:tcPr>
            <w:tcW w:w="100" w:type="dxa"/>
            <w:vAlign w:val="bottom"/>
          </w:tcPr>
          <w:p>
            <w:pPr>
              <w:spacing w:after="0"/>
              <w:rPr>
                <w:sz w:val="13"/>
                <w:szCs w:val="13"/>
                <w:color w:val="auto"/>
              </w:rPr>
            </w:pPr>
          </w:p>
        </w:tc>
        <w:tc>
          <w:tcPr>
            <w:tcW w:w="900" w:type="dxa"/>
            <w:vAlign w:val="bottom"/>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19,823</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Mortgage-backed securities - agency </w:t>
            </w:r>
            <w:r>
              <w:rPr>
                <w:rFonts w:ascii="Times New Roman" w:cs="Times New Roman" w:eastAsia="Times New Roman" w:hAnsi="Times New Roman"/>
                <w:sz w:val="14"/>
                <w:szCs w:val="14"/>
                <w:color w:val="auto"/>
                <w:vertAlign w:val="superscript"/>
              </w:rPr>
              <w:t>(1)</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1,265,954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1,193,750</w:t>
            </w: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97,921</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97,089</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34,262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34,215</w:t>
            </w:r>
          </w:p>
        </w:tc>
        <w:tc>
          <w:tcPr>
            <w:tcW w:w="0" w:type="dxa"/>
            <w:vAlign w:val="bottom"/>
          </w:tcPr>
          <w:p>
            <w:pPr>
              <w:spacing w:after="0"/>
              <w:rPr>
                <w:sz w:val="1"/>
                <w:szCs w:val="1"/>
                <w:color w:val="auto"/>
              </w:rPr>
            </w:pPr>
          </w:p>
        </w:tc>
      </w:tr>
      <w:tr>
        <w:trPr>
          <w:trHeight w:val="160"/>
        </w:trPr>
        <w:tc>
          <w:tcPr>
            <w:tcW w:w="6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77,054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73,458</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46,854</w:t>
            </w:r>
          </w:p>
        </w:tc>
        <w:tc>
          <w:tcPr>
            <w:tcW w:w="0" w:type="dxa"/>
            <w:vAlign w:val="bottom"/>
          </w:tcPr>
          <w:p>
            <w:pPr>
              <w:spacing w:after="0"/>
              <w:rPr>
                <w:sz w:val="1"/>
                <w:szCs w:val="1"/>
                <w:color w:val="auto"/>
              </w:rPr>
            </w:pPr>
          </w:p>
        </w:tc>
      </w:tr>
      <w:tr>
        <w:trPr>
          <w:trHeight w:val="160"/>
        </w:trPr>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60,075</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57,812</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available for sale securities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1,602,810</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(85,137)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1,523,001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60" w:right="440" w:hanging="255"/>
        <w:spacing w:after="0" w:line="303" w:lineRule="auto"/>
        <w:tabs>
          <w:tab w:leader="none" w:pos="254"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amount of fair value hedging adjustment included in the amortized cost amount of the hedged investment securities available-for-sale as of December 31, 2025 was $(2.3) million. See Note 6 - </w:t>
      </w:r>
      <w:r>
        <w:rPr>
          <w:rFonts w:ascii="Times New Roman" w:cs="Times New Roman" w:eastAsia="Times New Roman" w:hAnsi="Times New Roman"/>
          <w:sz w:val="11"/>
          <w:szCs w:val="11"/>
          <w:i w:val="1"/>
          <w:iCs w:val="1"/>
          <w:color w:val="auto"/>
        </w:rPr>
        <w:t>Derivative Instruments</w:t>
      </w:r>
      <w:r>
        <w:rPr>
          <w:rFonts w:ascii="Times New Roman" w:cs="Times New Roman" w:eastAsia="Times New Roman" w:hAnsi="Times New Roman"/>
          <w:sz w:val="11"/>
          <w:szCs w:val="11"/>
          <w:color w:val="auto"/>
        </w:rPr>
        <w:t xml:space="preserve"> for additional information regarding these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The table below shows the amortized cost and fair value of the investment securities portfolio by contractual maturity for all securities other than mortgage-backed securities, as of September 30, 2026. Expected maturities may differ from contractual maturities if borrowers have the right to call or prepay obligations with or without call or prepayment penalties. Securities not due at a single maturity date are shown separately.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340" w:type="dxa"/>
            <w:vAlign w:val="bottom"/>
          </w:tcPr>
          <w:p>
            <w:pPr>
              <w:spacing w:after="0"/>
              <w:rPr>
                <w:sz w:val="11"/>
                <w:szCs w:val="11"/>
                <w:color w:val="auto"/>
              </w:rPr>
            </w:pPr>
          </w:p>
        </w:tc>
        <w:tc>
          <w:tcPr>
            <w:tcW w:w="11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53"/>
        </w:trPr>
        <w:tc>
          <w:tcPr>
            <w:tcW w:w="82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40" w:type="dxa"/>
            <w:vAlign w:val="bottom"/>
          </w:tcPr>
          <w:p>
            <w:pPr>
              <w:spacing w:after="0"/>
              <w:rPr>
                <w:sz w:val="13"/>
                <w:szCs w:val="13"/>
                <w:color w:val="auto"/>
              </w:rPr>
            </w:pPr>
          </w:p>
        </w:tc>
        <w:tc>
          <w:tcPr>
            <w:tcW w:w="112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4"/>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Within one year</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4,235</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4,228</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46,527</w:t>
            </w:r>
          </w:p>
        </w:tc>
        <w:tc>
          <w:tcPr>
            <w:tcW w:w="0" w:type="dxa"/>
            <w:vAlign w:val="bottom"/>
          </w:tcPr>
          <w:p>
            <w:pPr>
              <w:spacing w:after="0"/>
              <w:rPr>
                <w:sz w:val="1"/>
                <w:szCs w:val="1"/>
                <w:color w:val="auto"/>
              </w:rPr>
            </w:pPr>
          </w:p>
        </w:tc>
      </w:tr>
      <w:tr>
        <w:trPr>
          <w:trHeight w:val="160"/>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2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73,226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68,453</w:t>
            </w:r>
          </w:p>
        </w:tc>
        <w:tc>
          <w:tcPr>
            <w:tcW w:w="0" w:type="dxa"/>
            <w:vAlign w:val="bottom"/>
          </w:tcPr>
          <w:p>
            <w:pPr>
              <w:spacing w:after="0"/>
              <w:rPr>
                <w:sz w:val="1"/>
                <w:szCs w:val="1"/>
                <w:color w:val="auto"/>
              </w:rPr>
            </w:pPr>
          </w:p>
        </w:tc>
      </w:tr>
      <w:tr>
        <w:trPr>
          <w:trHeight w:val="179"/>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After ten years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340,774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334,757</w:t>
            </w: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1,604,053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1,451,229</w:t>
            </w: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available for sale securities</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2,071,176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1,905,194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12529"/>
        </w:rPr>
        <w:t xml:space="preserve">Proceeds and gross realized gains and losses on sales of investment securities available for sale for the </w:t>
      </w:r>
      <w:r>
        <w:rPr>
          <w:rFonts w:ascii="Times New Roman" w:cs="Times New Roman" w:eastAsia="Times New Roman" w:hAnsi="Times New Roman"/>
          <w:sz w:val="14"/>
          <w:szCs w:val="14"/>
          <w:color w:val="000000"/>
        </w:rPr>
        <w:t>three and nine months ended September 30, 2026 and 2025</w:t>
      </w:r>
      <w:r>
        <w:rPr>
          <w:rFonts w:ascii="Times New Roman" w:cs="Times New Roman" w:eastAsia="Times New Roman" w:hAnsi="Times New Roman"/>
          <w:sz w:val="14"/>
          <w:szCs w:val="14"/>
          <w:color w:val="212529"/>
        </w:rPr>
        <w:t xml:space="preserve"> are summarized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Pr>
          <w:p>
            <w:pPr>
              <w:spacing w:after="0"/>
              <w:rPr>
                <w:sz w:val="13"/>
                <w:szCs w:val="13"/>
                <w:color w:val="auto"/>
              </w:rPr>
            </w:pPr>
          </w:p>
        </w:tc>
        <w:tc>
          <w:tcPr>
            <w:tcW w:w="2600" w:type="dxa"/>
            <w:vAlign w:val="bottom"/>
            <w:gridSpan w:val="4"/>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sales</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gridSpan w:val="3"/>
          </w:tcPr>
          <w:p>
            <w:pPr>
              <w:ind w:left="920"/>
              <w:spacing w:after="0"/>
              <w:rPr>
                <w:sz w:val="20"/>
                <w:szCs w:val="20"/>
                <w:color w:val="auto"/>
              </w:rPr>
            </w:pPr>
            <w:r>
              <w:rPr>
                <w:rFonts w:ascii="Times New Roman" w:cs="Times New Roman" w:eastAsia="Times New Roman" w:hAnsi="Times New Roman"/>
                <w:sz w:val="11"/>
                <w:szCs w:val="11"/>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103,759</w:t>
            </w:r>
          </w:p>
        </w:tc>
        <w:tc>
          <w:tcPr>
            <w:tcW w:w="10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98,599</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103,759</w:t>
            </w:r>
          </w:p>
        </w:tc>
      </w:tr>
      <w:tr>
        <w:trPr>
          <w:trHeight w:val="17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Gross realized gains on sales</w:t>
            </w:r>
          </w:p>
        </w:tc>
        <w:tc>
          <w:tcPr>
            <w:tcW w:w="34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587</w:t>
            </w:r>
          </w:p>
        </w:tc>
      </w:tr>
      <w:tr>
        <w:trPr>
          <w:trHeight w:val="151"/>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Gross realized losses on sales</w:t>
            </w:r>
          </w:p>
        </w:tc>
        <w:tc>
          <w:tcPr>
            <w:tcW w:w="340" w:type="dxa"/>
            <w:vAlign w:val="bottom"/>
          </w:tcPr>
          <w:p>
            <w:pPr>
              <w:spacing w:after="0"/>
              <w:rPr>
                <w:sz w:val="13"/>
                <w:szCs w:val="13"/>
                <w:color w:val="auto"/>
              </w:rPr>
            </w:pPr>
          </w:p>
        </w:tc>
        <w:tc>
          <w:tcPr>
            <w:tcW w:w="1500" w:type="dxa"/>
            <w:vAlign w:val="bottom"/>
            <w:gridSpan w:val="3"/>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r>
    </w:tbl>
    <w:p>
      <w:pPr>
        <w:spacing w:after="0" w:line="25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Unrealized losses and fair values for investment securities available for sale as of September 30, 2026 and December 31, 2025, aggregated by investment category and length of time that individual securities have been in a continuous unrealized loss position, are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40" w:type="dxa"/>
            <w:vAlign w:val="bottom"/>
          </w:tcPr>
          <w:p>
            <w:pPr>
              <w:spacing w:after="0"/>
              <w:rPr>
                <w:sz w:val="10"/>
                <w:szCs w:val="10"/>
                <w:color w:val="auto"/>
              </w:rPr>
            </w:pPr>
          </w:p>
        </w:tc>
        <w:tc>
          <w:tcPr>
            <w:tcW w:w="9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Fair</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9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Fair</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94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80" w:type="dxa"/>
            <w:vAlign w:val="bottom"/>
          </w:tcPr>
          <w:p>
            <w:pPr>
              <w:spacing w:after="0"/>
              <w:rPr>
                <w:sz w:val="10"/>
                <w:szCs w:val="10"/>
                <w:color w:val="auto"/>
              </w:rPr>
            </w:pPr>
          </w:p>
        </w:tc>
        <w:tc>
          <w:tcPr>
            <w:tcW w:w="920" w:type="dxa"/>
            <w:vAlign w:val="bottom"/>
          </w:tcPr>
          <w:p>
            <w:pPr>
              <w:jc w:val="right"/>
              <w:ind w:right="223"/>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54"/>
        </w:trPr>
        <w:tc>
          <w:tcPr>
            <w:tcW w:w="41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4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55"/>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Treasury securities</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860,598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50,437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467,599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1,328,197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156,073</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64,308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78,885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5,428</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40,916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65,994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8,448</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30,678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18,892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49,570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0" w:type="dxa"/>
            <w:vAlign w:val="bottom"/>
          </w:tcPr>
          <w:p>
            <w:pPr>
              <w:spacing w:after="0"/>
              <w:rPr>
                <w:sz w:val="1"/>
                <w:szCs w:val="1"/>
                <w:color w:val="auto"/>
              </w:rPr>
            </w:pPr>
          </w:p>
        </w:tc>
      </w:tr>
      <w:tr>
        <w:trPr>
          <w:trHeight w:val="170"/>
        </w:trPr>
        <w:tc>
          <w:tcPr>
            <w:tcW w:w="41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available for sale securities</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1,058,157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58,358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554,555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116,405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1,612,712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174,763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2300" w:type="dxa"/>
            <w:vAlign w:val="bottom"/>
            <w:tcBorders>
              <w:bottom w:val="single" w:sz="8" w:color="auto"/>
            </w:tcBorders>
            <w:gridSpan w:val="5"/>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Fair</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96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9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Fair</w:t>
            </w:r>
          </w:p>
        </w:tc>
        <w:tc>
          <w:tcPr>
            <w:tcW w:w="180" w:type="dxa"/>
            <w:vAlign w:val="bottom"/>
          </w:tcPr>
          <w:p>
            <w:pPr>
              <w:spacing w:after="0"/>
              <w:rPr>
                <w:sz w:val="10"/>
                <w:szCs w:val="10"/>
                <w:color w:val="auto"/>
              </w:rPr>
            </w:pPr>
          </w:p>
        </w:tc>
        <w:tc>
          <w:tcPr>
            <w:tcW w:w="920" w:type="dxa"/>
            <w:vAlign w:val="bottom"/>
          </w:tcPr>
          <w:p>
            <w:pPr>
              <w:jc w:val="right"/>
              <w:ind w:right="223"/>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54"/>
        </w:trPr>
        <w:tc>
          <w:tcPr>
            <w:tcW w:w="4180" w:type="dxa"/>
            <w:vAlign w:val="bottom"/>
            <w:vMerge w:val="continue"/>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3"/>
                <w:szCs w:val="13"/>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55"/>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68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9,668</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9,077</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18,745</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201,422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524,471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725,893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75,476</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6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4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47,241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49,743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2,332</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available for sale securities</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222,626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663,757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886,383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85,137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At September 30, 2026, 415 investment securities available for sale had unrealized losses with aggregate depreciation of 9.78% from their amortized cost basis. For all of the above investment securities, the unrealized losses were generally due to changes in interest rates and other market conditions that do not represent credit-related impairments. The Company expects the fair value to recover as the securities approach their respective maturity dates and principal is paid back in full. The Company does not intend to sell and it is not more likely than not that the Company will be required to sell the securities prior to their anticipated recovery of their amortized cost.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LOANS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total loans outstanding by portfolio class, as of September 30, 2026 and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11"/>
                <w:szCs w:val="11"/>
                <w:color w:val="auto"/>
              </w:rPr>
            </w:pPr>
          </w:p>
        </w:tc>
        <w:tc>
          <w:tcPr>
            <w:tcW w:w="12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1,073,651</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1,062,691</w:t>
            </w: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other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110,162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115,830</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1,477,074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1,447,894</w:t>
            </w:r>
          </w:p>
        </w:tc>
        <w:tc>
          <w:tcPr>
            <w:tcW w:w="0" w:type="dxa"/>
            <w:vAlign w:val="bottom"/>
          </w:tcPr>
          <w:p>
            <w:pPr>
              <w:spacing w:after="0"/>
              <w:rPr>
                <w:sz w:val="1"/>
                <w:szCs w:val="1"/>
                <w:color w:val="auto"/>
              </w:rPr>
            </w:pPr>
          </w:p>
        </w:tc>
      </w:tr>
      <w:tr>
        <w:trPr>
          <w:trHeight w:val="16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Commercial real estate owner occupied</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397,372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444,443</w:t>
            </w: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Multi-family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388,328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383,377</w:t>
            </w:r>
          </w:p>
        </w:tc>
        <w:tc>
          <w:tcPr>
            <w:tcW w:w="0" w:type="dxa"/>
            <w:vAlign w:val="bottom"/>
          </w:tcPr>
          <w:p>
            <w:pPr>
              <w:spacing w:after="0"/>
              <w:rPr>
                <w:sz w:val="1"/>
                <w:szCs w:val="1"/>
                <w:color w:val="auto"/>
              </w:rPr>
            </w:pPr>
          </w:p>
        </w:tc>
      </w:tr>
      <w:tr>
        <w:trPr>
          <w:trHeight w:val="16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Farmland</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69,704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66,950</w:t>
            </w: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249,268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286,140</w:t>
            </w:r>
          </w:p>
        </w:tc>
        <w:tc>
          <w:tcPr>
            <w:tcW w:w="0" w:type="dxa"/>
            <w:vAlign w:val="bottom"/>
          </w:tcPr>
          <w:p>
            <w:pPr>
              <w:spacing w:after="0"/>
              <w:rPr>
                <w:sz w:val="1"/>
                <w:szCs w:val="1"/>
                <w:color w:val="auto"/>
              </w:rPr>
            </w:pP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3,765,559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3,807,325</w:t>
            </w: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Residential first lien</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288,181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286,178</w:t>
            </w: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residential</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69,840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63,445</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99,692</w:t>
            </w:r>
          </w:p>
        </w:tc>
        <w:tc>
          <w:tcPr>
            <w:tcW w:w="0" w:type="dxa"/>
            <w:vAlign w:val="bottom"/>
          </w:tcPr>
          <w:p>
            <w:pPr>
              <w:spacing w:after="0"/>
              <w:rPr>
                <w:sz w:val="1"/>
                <w:szCs w:val="1"/>
                <w:color w:val="auto"/>
              </w:rPr>
            </w:pPr>
          </w:p>
        </w:tc>
      </w:tr>
      <w:tr>
        <w:trPr>
          <w:trHeight w:val="16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Consumer other</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44,399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44,383</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50,981</w:t>
            </w:r>
          </w:p>
        </w:tc>
        <w:tc>
          <w:tcPr>
            <w:tcW w:w="0" w:type="dxa"/>
            <w:vAlign w:val="bottom"/>
          </w:tcPr>
          <w:p>
            <w:pPr>
              <w:spacing w:after="0"/>
              <w:rPr>
                <w:sz w:val="1"/>
                <w:szCs w:val="1"/>
                <w:color w:val="auto"/>
              </w:rPr>
            </w:pPr>
          </w:p>
        </w:tc>
      </w:tr>
      <w:tr>
        <w:trPr>
          <w:trHeight w:val="170"/>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loans</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4,282,828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4,352,004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Total loans included net deferred loan fees of $8.2 million at both September 30, 2026 and December 31, 2025, and unearned discounts of $2.4 million and $4.7 million within the lease financing portfolio at September 30, 2026 and December 31, 2025,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Classifications of Loan Portfolio</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monitors the performance of its loan portfolio, assesses the credit risk, and estimates its allowance for credit losses on loans using the segments set forth below.</w:t>
      </w:r>
    </w:p>
    <w:p>
      <w:pPr>
        <w:spacing w:after="0" w:line="177"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Commercial</w:t>
      </w:r>
      <w:r>
        <w:rPr>
          <w:rFonts w:ascii="Times New Roman" w:cs="Times New Roman" w:eastAsia="Times New Roman" w:hAnsi="Times New Roman"/>
          <w:sz w:val="14"/>
          <w:szCs w:val="14"/>
          <w:color w:val="auto"/>
        </w:rPr>
        <w:t>—Loans to varying types of businesses, including municipalities, school districts and nonprofit organizations, for the purpose of supporting working capital, operational needs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term financing of equipment. Repayment of such loans is generally provided through operating cash flows of the business. Commercial loans are predominately secured by equipment, inventory, accounts receivable, and other sources of repayment.</w:t>
      </w:r>
    </w:p>
    <w:p>
      <w:pPr>
        <w:spacing w:after="0" w:line="134" w:lineRule="exact"/>
        <w:rPr>
          <w:sz w:val="20"/>
          <w:szCs w:val="20"/>
          <w:color w:val="auto"/>
        </w:rPr>
      </w:pPr>
    </w:p>
    <w:p>
      <w:pPr>
        <w:ind w:right="30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Commercial real estate</w:t>
      </w:r>
      <w:r>
        <w:rPr>
          <w:rFonts w:ascii="Times New Roman" w:cs="Times New Roman" w:eastAsia="Times New Roman" w:hAnsi="Times New Roman"/>
          <w:sz w:val="14"/>
          <w:szCs w:val="14"/>
          <w:color w:val="auto"/>
        </w:rPr>
        <w:t>—Loans secured by real estate occupied by the borrower for ongoing operations, including loans to borrowers engaged in agricultural production, and non-owner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occupied real estate leased to one or more tenants, including commercial office, industrial, special purpose, retail and multi-family residential real estate loans.</w:t>
      </w:r>
    </w:p>
    <w:p>
      <w:pPr>
        <w:spacing w:after="0" w:line="12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Construction and land development</w:t>
      </w:r>
      <w:r>
        <w:rPr>
          <w:rFonts w:ascii="Times New Roman" w:cs="Times New Roman" w:eastAsia="Times New Roman" w:hAnsi="Times New Roman"/>
          <w:sz w:val="14"/>
          <w:szCs w:val="14"/>
          <w:color w:val="auto"/>
        </w:rPr>
        <w:t>—Secured loans for the construction of business and residential properties. Real estate construction loans often convert to a real estate commercial loan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completion of the construction period. Secured development loans are made to borrowers for the purpose of infrastructure improvements to vacant land to create finished marketable residential and commercial lots/land. Most land development loans are originated with the intention that the loans will be paid through the sale of developed lots/land by the developers within twelve months of the completion date. Interest reserves may be established on real estate construction loans.</w:t>
      </w:r>
    </w:p>
    <w:p>
      <w:pPr>
        <w:spacing w:after="0" w:line="138"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Residential real estate</w:t>
      </w:r>
      <w:r>
        <w:rPr>
          <w:rFonts w:ascii="Times New Roman" w:cs="Times New Roman" w:eastAsia="Times New Roman" w:hAnsi="Times New Roman"/>
          <w:sz w:val="14"/>
          <w:szCs w:val="14"/>
          <w:color w:val="auto"/>
        </w:rPr>
        <w:t>—Loans secured by residential properties that generally do not qualify for secondary market sale; however, the risk to return and/or overall relationship are considered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acceptable to the Company. This category also includes loans whereby consumers utilize equity in their personal residence, generally through a second mortgage, as collateral to secure the loan.</w:t>
      </w:r>
    </w:p>
    <w:p>
      <w:pPr>
        <w:spacing w:after="0" w:line="120" w:lineRule="exact"/>
        <w:rPr>
          <w:sz w:val="20"/>
          <w:szCs w:val="20"/>
          <w:color w:val="auto"/>
        </w:rPr>
      </w:pPr>
    </w:p>
    <w:p>
      <w:pPr>
        <w:ind w:right="3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Consumer</w:t>
      </w:r>
      <w:r>
        <w:rPr>
          <w:rFonts w:ascii="Times New Roman" w:cs="Times New Roman" w:eastAsia="Times New Roman" w:hAnsi="Times New Roman"/>
          <w:sz w:val="14"/>
          <w:szCs w:val="14"/>
          <w:color w:val="auto"/>
        </w:rPr>
        <w:t>—Loans to consumers primarily for the purpose of home improvements or acquiring automobiles, recreational vehicles and boats. Consumer loans consist of relatively small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amounts that are spread across many individual borrowers.</w:t>
      </w:r>
    </w:p>
    <w:p>
      <w:pPr>
        <w:spacing w:after="0" w:line="120"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Lease financing</w:t>
      </w:r>
      <w:r>
        <w:rPr>
          <w:rFonts w:ascii="Times New Roman" w:cs="Times New Roman" w:eastAsia="Times New Roman" w:hAnsi="Times New Roman"/>
          <w:sz w:val="14"/>
          <w:szCs w:val="14"/>
          <w:color w:val="auto"/>
        </w:rPr>
        <w:t>—Our leasing business historically provided financing leases to varying types of businesses, nationwide, for purchases of business equipment. The financing is secured by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first priority interest in the financed assets and generally requires monthly payments. We ceased originating new equipment financing leases and loans effective September 30, 2025 and sold substantially all of our equipment finance portfolio during the fourth quarter of 2025.</w:t>
      </w:r>
    </w:p>
    <w:p>
      <w:pPr>
        <w:spacing w:after="0" w:line="136"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Commercial, commercial real estate, and construction and land development loans are collectively referred to as the Company’s commercial loan portfolio, while residential real estate, consumer loans and lease financing receivables are collectively referred to as the Company’s other loan portfolio.</w:t>
      </w:r>
    </w:p>
    <w:p>
      <w:pPr>
        <w:spacing w:after="0" w:line="12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We have extended loans to certain of our directors, executive officers, principal shareholders and their affiliates. These loans were made in the ordinary course of business upon substantially the same terms as comparable transactions with non-insiders, including collateralization and interest rates prevailing at the time. The new loans, other additions, repayments and other reductions for the three and nine months ended September 30, 2026 and 2025, are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Pr>
          <w:p>
            <w:pPr>
              <w:spacing w:after="0"/>
              <w:rPr>
                <w:sz w:val="13"/>
                <w:szCs w:val="13"/>
                <w:color w:val="auto"/>
              </w:rPr>
            </w:pPr>
          </w:p>
        </w:tc>
        <w:tc>
          <w:tcPr>
            <w:tcW w:w="2620" w:type="dxa"/>
            <w:vAlign w:val="bottom"/>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46,999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40,410</w:t>
            </w:r>
          </w:p>
        </w:tc>
      </w:tr>
      <w:tr>
        <w:trPr>
          <w:trHeight w:val="160"/>
        </w:trPr>
        <w:tc>
          <w:tcPr>
            <w:tcW w:w="5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New loans and other additions</w:t>
            </w:r>
          </w:p>
        </w:tc>
        <w:tc>
          <w:tcPr>
            <w:tcW w:w="3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7,027</w:t>
            </w:r>
          </w:p>
        </w:tc>
      </w:tr>
      <w:tr>
        <w:trPr>
          <w:trHeight w:val="17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Repayments and other reductions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(1,976)</w:t>
            </w:r>
          </w:p>
        </w:tc>
      </w:tr>
      <w:tr>
        <w:trPr>
          <w:trHeight w:val="17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38,375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45,461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38,375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45,461</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by loan portfolio segment, a summary of changes in the allowance for credit losses on loans for the three and nine months ended September 30, 2026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Commercial Loan Portfolio</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 Loan Portfolio</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Commercial</w:t>
            </w:r>
          </w:p>
        </w:tc>
        <w:tc>
          <w:tcPr>
            <w:tcW w:w="180" w:type="dxa"/>
            <w:vAlign w:val="bottom"/>
          </w:tcPr>
          <w:p>
            <w:pPr>
              <w:spacing w:after="0"/>
              <w:rPr>
                <w:sz w:val="10"/>
                <w:szCs w:val="10"/>
                <w:color w:val="auto"/>
              </w:rPr>
            </w:pPr>
          </w:p>
        </w:tc>
        <w:tc>
          <w:tcPr>
            <w:tcW w:w="10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Construction</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Lease</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40" w:type="dxa"/>
            <w:vAlign w:val="bottom"/>
          </w:tcPr>
          <w:p>
            <w:pPr>
              <w:spacing w:after="0"/>
              <w:rPr>
                <w:sz w:val="9"/>
                <w:szCs w:val="9"/>
                <w:color w:val="auto"/>
              </w:rPr>
            </w:pPr>
          </w:p>
        </w:tc>
        <w:tc>
          <w:tcPr>
            <w:tcW w:w="92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Pr>
          <w:p>
            <w:pPr>
              <w:spacing w:after="0"/>
              <w:rPr>
                <w:sz w:val="9"/>
                <w:szCs w:val="9"/>
                <w:color w:val="auto"/>
              </w:rPr>
            </w:pPr>
          </w:p>
        </w:tc>
        <w:tc>
          <w:tcPr>
            <w:tcW w:w="640" w:type="dxa"/>
            <w:vAlign w:val="bottom"/>
          </w:tcPr>
          <w:p>
            <w:pPr>
              <w:jc w:val="center"/>
              <w:ind w:left="363"/>
              <w:spacing w:after="0" w:line="115" w:lineRule="exact"/>
              <w:rPr>
                <w:sz w:val="20"/>
                <w:szCs w:val="20"/>
                <w:color w:val="auto"/>
              </w:rPr>
            </w:pPr>
            <w:r>
              <w:rPr>
                <w:rFonts w:ascii="Times New Roman" w:cs="Times New Roman" w:eastAsia="Times New Roman" w:hAnsi="Times New Roman"/>
                <w:sz w:val="11"/>
                <w:szCs w:val="11"/>
                <w:b w:val="1"/>
                <w:bCs w:val="1"/>
                <w:color w:val="auto"/>
                <w:w w:val="97"/>
              </w:rPr>
              <w:t>real</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and land</w:t>
            </w:r>
          </w:p>
        </w:tc>
        <w:tc>
          <w:tcPr>
            <w:tcW w:w="180" w:type="dxa"/>
            <w:vAlign w:val="bottom"/>
          </w:tcPr>
          <w:p>
            <w:pPr>
              <w:spacing w:after="0"/>
              <w:rPr>
                <w:sz w:val="9"/>
                <w:szCs w:val="9"/>
                <w:color w:val="auto"/>
              </w:rPr>
            </w:pPr>
          </w:p>
        </w:tc>
        <w:tc>
          <w:tcPr>
            <w:tcW w:w="10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real</w:t>
            </w:r>
          </w:p>
        </w:tc>
        <w:tc>
          <w:tcPr>
            <w:tcW w:w="18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estate</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development</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financing</w:t>
            </w: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allowance for credit losses on loans for the three</w:t>
            </w:r>
          </w:p>
        </w:tc>
        <w:tc>
          <w:tcPr>
            <w:tcW w:w="1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87"/>
              </w:rPr>
              <w:t>months ended September</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30, 2026:</w:t>
            </w: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June 30, 2026</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23,142</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25,326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5,604</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2,544</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62,519</w:t>
            </w: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3,685</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(7,520)</w:t>
            </w:r>
          </w:p>
        </w:tc>
        <w:tc>
          <w:tcPr>
            <w:tcW w:w="0" w:type="dxa"/>
            <w:vAlign w:val="bottom"/>
          </w:tcPr>
          <w:p>
            <w:pPr>
              <w:spacing w:after="0"/>
              <w:rPr>
                <w:sz w:val="1"/>
                <w:szCs w:val="1"/>
                <w:color w:val="auto"/>
              </w:rPr>
            </w:pPr>
          </w:p>
        </w:tc>
      </w:tr>
      <w:tr>
        <w:trPr>
          <w:trHeight w:val="1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24,148</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24,392</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4,768</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3,757</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60,852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allowance for credit losses on loans for the nine months ended September 30, 2026: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December 31, 2025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23,676</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69,219</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7,156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16,197</w:t>
            </w: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(28,429)</w:t>
            </w:r>
          </w:p>
        </w:tc>
        <w:tc>
          <w:tcPr>
            <w:tcW w:w="0" w:type="dxa"/>
            <w:vAlign w:val="bottom"/>
          </w:tcPr>
          <w:p>
            <w:pPr>
              <w:spacing w:after="0"/>
              <w:rPr>
                <w:sz w:val="1"/>
                <w:szCs w:val="1"/>
                <w:color w:val="auto"/>
              </w:rPr>
            </w:pPr>
          </w:p>
        </w:tc>
      </w:tr>
      <w:tr>
        <w:trPr>
          <w:trHeight w:val="16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1,060</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3,865</w:t>
            </w: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60,852</w:t>
            </w:r>
          </w:p>
        </w:tc>
        <w:tc>
          <w:tcPr>
            <w:tcW w:w="0" w:type="dxa"/>
            <w:vAlign w:val="bottom"/>
          </w:tcPr>
          <w:p>
            <w:pPr>
              <w:spacing w:after="0"/>
              <w:rPr>
                <w:sz w:val="1"/>
                <w:szCs w:val="1"/>
                <w:color w:val="auto"/>
              </w:rPr>
            </w:pPr>
          </w:p>
        </w:tc>
      </w:tr>
      <w:tr>
        <w:trPr>
          <w:trHeight w:val="20"/>
        </w:trPr>
        <w:tc>
          <w:tcPr>
            <w:tcW w:w="4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allowance for credit losses on loans for the three months ended September 30, 2025: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June 30, 2025</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34,179</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27,439</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7,104</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5,704</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15,395</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92,690</w:t>
            </w: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7,841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20,505</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(16,039)</w:t>
            </w:r>
          </w:p>
        </w:tc>
        <w:tc>
          <w:tcPr>
            <w:tcW w:w="0" w:type="dxa"/>
            <w:vAlign w:val="bottom"/>
          </w:tcPr>
          <w:p>
            <w:pPr>
              <w:spacing w:after="0"/>
              <w:rPr>
                <w:sz w:val="1"/>
                <w:szCs w:val="1"/>
                <w:color w:val="auto"/>
              </w:rPr>
            </w:pPr>
          </w:p>
        </w:tc>
      </w:tr>
      <w:tr>
        <w:trPr>
          <w:trHeight w:val="1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1,320</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3,730</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39,039</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26,813</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2,570</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6,393</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21,045</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100,886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allowance for credit losses on loans for the nine months ended September 30, 2025: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December 31, 2024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42,776</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111,204</w:t>
            </w:r>
          </w:p>
        </w:tc>
        <w:tc>
          <w:tcPr>
            <w:tcW w:w="0" w:type="dxa"/>
            <w:vAlign w:val="bottom"/>
          </w:tcPr>
          <w:p>
            <w:pPr>
              <w:spacing w:after="0"/>
              <w:rPr>
                <w:sz w:val="1"/>
                <w:szCs w:val="1"/>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17,196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48,724</w:t>
            </w: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(23,762)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(67,419)</w:t>
            </w:r>
          </w:p>
        </w:tc>
        <w:tc>
          <w:tcPr>
            <w:tcW w:w="0" w:type="dxa"/>
            <w:vAlign w:val="bottom"/>
          </w:tcPr>
          <w:p>
            <w:pPr>
              <w:spacing w:after="0"/>
              <w:rPr>
                <w:sz w:val="1"/>
                <w:szCs w:val="1"/>
                <w:color w:val="auto"/>
              </w:rPr>
            </w:pPr>
          </w:p>
        </w:tc>
      </w:tr>
      <w:tr>
        <w:trPr>
          <w:trHeight w:val="16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2,829</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8,377</w:t>
            </w:r>
          </w:p>
        </w:tc>
        <w:tc>
          <w:tcPr>
            <w:tcW w:w="0" w:type="dxa"/>
            <w:vAlign w:val="bottom"/>
          </w:tcPr>
          <w:p>
            <w:pPr>
              <w:spacing w:after="0"/>
              <w:rPr>
                <w:sz w:val="1"/>
                <w:szCs w:val="1"/>
                <w:color w:val="auto"/>
              </w:rPr>
            </w:pP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39,039</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100,886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utilizes a combination of models which measure probability of default and loss given default in determining expected future credit losses.</w:t>
      </w:r>
    </w:p>
    <w:p>
      <w:pPr>
        <w:spacing w:after="0" w:line="179" w:lineRule="exact"/>
        <w:rPr>
          <w:sz w:val="20"/>
          <w:szCs w:val="20"/>
          <w:color w:val="auto"/>
        </w:rPr>
      </w:pPr>
    </w:p>
    <w:p>
      <w:pPr>
        <w:jc w:val="both"/>
        <w:ind w:right="220" w:firstLine="509"/>
        <w:spacing w:after="0" w:line="264" w:lineRule="auto"/>
        <w:rPr>
          <w:sz w:val="20"/>
          <w:szCs w:val="20"/>
          <w:color w:val="auto"/>
        </w:rPr>
      </w:pPr>
      <w:r>
        <w:rPr>
          <w:rFonts w:ascii="Times New Roman" w:cs="Times New Roman" w:eastAsia="Times New Roman" w:hAnsi="Times New Roman"/>
          <w:sz w:val="14"/>
          <w:szCs w:val="14"/>
          <w:color w:val="auto"/>
        </w:rPr>
        <w:t>The probability of default is the risk that the borrower will be unable or unwilling to repay its debt in full or on time. The risk of default is derived by analyzing the obligor’s capacity to repay the debt in accordance with contractual terms. Probability of default is generally associated with financial characteristics such as inadequate cash flow to service debt, declining revenues or operating margins, high leverage, declining or marginal liquidity, and the inability to successfully implement a business plan. In addition to these quantifiable factors, the borrower’s willingness to repay also must be evaluated.</w:t>
      </w:r>
    </w:p>
    <w:p>
      <w:pPr>
        <w:spacing w:after="0" w:line="140"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probability of default is forecasted, for most commercial and retail loans, using a regression model that determines the likelihood of default within the twelve month time horizon. The regression model uses forward-looking economic forecasts including variables such as gross domestic product, housing price index, and real disposable income to predict default rates.</w:t>
      </w:r>
    </w:p>
    <w:p>
      <w:pPr>
        <w:spacing w:after="0" w:line="124"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loss given default component is the percentage of defaulted loan balance that is ultimately charged off. As a method for estimating the allowance, a form of migration analysis is used that combines the estimated probability of loans experiencing default events and the losses ultimately associated with the loans experiencing those defaults. Multiplying one by the other gives the Company its loss rate, which is then applied to the loan portfolio balance to determine expected future losses.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Within the model, the loss given default approach produces segmented loss given default estimates using a loss curve methodology, which is based on historical net losses from charge-off and recovery information. The main principle of a loss curve model is that the loss follows a steady timing schedule based on how long the defaulted loan has been on the books.</w:t>
      </w:r>
    </w:p>
    <w:p>
      <w:pPr>
        <w:spacing w:after="0" w:line="124"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Company’s expected loss estimate is anchored in historical credit loss experience, with an emphasis on all available portfolio data. The Company’s historical look-back period includes January 2012 through the current period on a monthly basis. When historical credit loss experience is not sufficient for a specific portfolio, the Company may supplement its own portfolio data with external models or data.</w:t>
      </w:r>
    </w:p>
    <w:p>
      <w:pPr>
        <w:spacing w:after="0" w:line="136" w:lineRule="exact"/>
        <w:rPr>
          <w:sz w:val="20"/>
          <w:szCs w:val="20"/>
          <w:color w:val="auto"/>
        </w:rPr>
      </w:pPr>
    </w:p>
    <w:p>
      <w:pPr>
        <w:jc w:val="both"/>
        <w:ind w:right="360" w:firstLine="509"/>
        <w:spacing w:after="0" w:line="270" w:lineRule="auto"/>
        <w:rPr>
          <w:sz w:val="20"/>
          <w:szCs w:val="20"/>
          <w:color w:val="auto"/>
        </w:rPr>
      </w:pPr>
      <w:r>
        <w:rPr>
          <w:rFonts w:ascii="Times New Roman" w:cs="Times New Roman" w:eastAsia="Times New Roman" w:hAnsi="Times New Roman"/>
          <w:sz w:val="14"/>
          <w:szCs w:val="14"/>
          <w:color w:val="auto"/>
        </w:rPr>
        <w:t>Historical data is evaluated in multiple components of the expected credit loss, including a reasonable and supportable forecast and the post-reversion period of each loan segment. The historical experience is used to infer probability of default and loss given default in the reasonable and supportable forecast period. In the post-reversion period, long-term average loss rates are segmented by loan pool.</w:t>
      </w:r>
    </w:p>
    <w:p>
      <w:pPr>
        <w:spacing w:after="0" w:line="136"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Qualitative reserves reflect management’s overall estimate of the extent to which current expected credit losses on collectively evaluated loans will differ from historical loss experience. The analysis takes into consideration other analytics performed within the organization, such as enterprise and concentration management, along with other credit-related analytics as deemed appropriate. Management attempts to quantify qualitative reserves whenever possible.</w:t>
      </w:r>
    </w:p>
    <w:p>
      <w:pPr>
        <w:spacing w:after="0" w:line="13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segments the loan portfolio into pools based on the following risk characteristics: financial asset type, collateral type, loan characteristics, credit characteristics, outstanding loan balances, contractual terms and prepayment assumptions, industry of borrower and concentrations, historical or expected credit loss patterns, and reasonable and supportable forecast periods. Within the probability of default segmentation, credit metrics are identified to further segment the financial assets. The Company utilizes risk ratings for the commercial portfolios and days past due for the consumer and the lease financing portfolios.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defined five transitioning risk states for each asset pool within the expected credit loss model. The below table illustrates the transition matrix: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vMerge w:val="restart"/>
          </w:tcPr>
          <w:p>
            <w:pPr>
              <w:jc w:val="center"/>
              <w:ind w:right="703"/>
              <w:spacing w:after="0"/>
              <w:rPr>
                <w:sz w:val="20"/>
                <w:szCs w:val="20"/>
                <w:color w:val="auto"/>
              </w:rPr>
            </w:pPr>
            <w:r>
              <w:rPr>
                <w:rFonts w:ascii="Times New Roman" w:cs="Times New Roman" w:eastAsia="Times New Roman" w:hAnsi="Times New Roman"/>
                <w:sz w:val="11"/>
                <w:szCs w:val="11"/>
                <w:b w:val="1"/>
                <w:bCs w:val="1"/>
                <w:color w:val="auto"/>
                <w:w w:val="99"/>
              </w:rPr>
              <w:t>Risk state</w:t>
            </w:r>
          </w:p>
        </w:tc>
        <w:tc>
          <w:tcPr>
            <w:tcW w:w="416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rPr>
              <w:t>Commercial loans</w:t>
            </w:r>
          </w:p>
        </w:tc>
        <w:tc>
          <w:tcPr>
            <w:tcW w:w="4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0" w:type="dxa"/>
            <w:vAlign w:val="bottom"/>
          </w:tcPr>
          <w:p>
            <w:pPr>
              <w:spacing w:after="0"/>
              <w:rPr>
                <w:sz w:val="1"/>
                <w:szCs w:val="1"/>
                <w:color w:val="auto"/>
              </w:rPr>
            </w:pPr>
          </w:p>
        </w:tc>
      </w:tr>
      <w:tr>
        <w:trPr>
          <w:trHeight w:val="153"/>
        </w:trPr>
        <w:tc>
          <w:tcPr>
            <w:tcW w:w="2260" w:type="dxa"/>
            <w:vAlign w:val="bottom"/>
            <w:tcBorders>
              <w:bottom w:val="single" w:sz="8" w:color="auto"/>
            </w:tcBorders>
            <w:vMerge w:val="continue"/>
          </w:tcPr>
          <w:p>
            <w:pPr>
              <w:spacing w:after="0"/>
              <w:rPr>
                <w:sz w:val="13"/>
                <w:szCs w:val="13"/>
                <w:color w:val="auto"/>
              </w:rPr>
            </w:pPr>
          </w:p>
        </w:tc>
        <w:tc>
          <w:tcPr>
            <w:tcW w:w="4160" w:type="dxa"/>
            <w:vAlign w:val="bottom"/>
            <w:tcBorders>
              <w:bottom w:val="single" w:sz="8" w:color="auto"/>
            </w:tcBorders>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rPr>
              <w:t>risk rating</w:t>
            </w:r>
          </w:p>
        </w:tc>
        <w:tc>
          <w:tcPr>
            <w:tcW w:w="48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days past due</w:t>
            </w:r>
          </w:p>
        </w:tc>
        <w:tc>
          <w:tcPr>
            <w:tcW w:w="0" w:type="dxa"/>
            <w:vAlign w:val="bottom"/>
          </w:tcPr>
          <w:p>
            <w:pPr>
              <w:spacing w:after="0"/>
              <w:rPr>
                <w:sz w:val="1"/>
                <w:szCs w:val="1"/>
                <w:color w:val="auto"/>
              </w:rPr>
            </w:pPr>
          </w:p>
        </w:tc>
      </w:tr>
      <w:tr>
        <w:trPr>
          <w:trHeight w:val="165"/>
        </w:trPr>
        <w:tc>
          <w:tcPr>
            <w:tcW w:w="2260" w:type="dxa"/>
            <w:vAlign w:val="bottom"/>
            <w:shd w:val="clear" w:color="auto" w:fill="CCEEFF"/>
          </w:tcPr>
          <w:p>
            <w:pPr>
              <w:jc w:val="center"/>
              <w:ind w:right="703"/>
              <w:spacing w:after="0"/>
              <w:rPr>
                <w:sz w:val="20"/>
                <w:szCs w:val="20"/>
                <w:color w:val="auto"/>
              </w:rPr>
            </w:pPr>
            <w:r>
              <w:rPr>
                <w:rFonts w:ascii="Times New Roman" w:cs="Times New Roman" w:eastAsia="Times New Roman" w:hAnsi="Times New Roman"/>
                <w:sz w:val="11"/>
                <w:szCs w:val="11"/>
                <w:color w:val="auto"/>
              </w:rPr>
              <w:t>1</w:t>
            </w:r>
          </w:p>
        </w:tc>
        <w:tc>
          <w:tcPr>
            <w:tcW w:w="416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rPr>
              <w:t>0-5</w:t>
            </w:r>
          </w:p>
        </w:tc>
        <w:tc>
          <w:tcPr>
            <w:tcW w:w="4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0-14</w:t>
            </w:r>
          </w:p>
        </w:tc>
        <w:tc>
          <w:tcPr>
            <w:tcW w:w="0" w:type="dxa"/>
            <w:vAlign w:val="bottom"/>
          </w:tcPr>
          <w:p>
            <w:pPr>
              <w:spacing w:after="0"/>
              <w:rPr>
                <w:sz w:val="1"/>
                <w:szCs w:val="1"/>
                <w:color w:val="auto"/>
              </w:rPr>
            </w:pPr>
          </w:p>
        </w:tc>
      </w:tr>
      <w:tr>
        <w:trPr>
          <w:trHeight w:val="160"/>
        </w:trPr>
        <w:tc>
          <w:tcPr>
            <w:tcW w:w="2260" w:type="dxa"/>
            <w:vAlign w:val="bottom"/>
          </w:tcPr>
          <w:p>
            <w:pPr>
              <w:jc w:val="center"/>
              <w:ind w:right="703"/>
              <w:spacing w:after="0"/>
              <w:rPr>
                <w:sz w:val="20"/>
                <w:szCs w:val="20"/>
                <w:color w:val="auto"/>
              </w:rPr>
            </w:pPr>
            <w:r>
              <w:rPr>
                <w:rFonts w:ascii="Times New Roman" w:cs="Times New Roman" w:eastAsia="Times New Roman" w:hAnsi="Times New Roman"/>
                <w:sz w:val="11"/>
                <w:szCs w:val="11"/>
                <w:color w:val="auto"/>
              </w:rPr>
              <w:t>2</w:t>
            </w:r>
          </w:p>
        </w:tc>
        <w:tc>
          <w:tcPr>
            <w:tcW w:w="4160" w:type="dxa"/>
            <w:vAlign w:val="bottom"/>
          </w:tcPr>
          <w:p>
            <w:pPr>
              <w:jc w:val="center"/>
              <w:ind w:right="663"/>
              <w:spacing w:after="0"/>
              <w:rPr>
                <w:sz w:val="20"/>
                <w:szCs w:val="20"/>
                <w:color w:val="auto"/>
              </w:rPr>
            </w:pPr>
            <w:r>
              <w:rPr>
                <w:rFonts w:ascii="Times New Roman" w:cs="Times New Roman" w:eastAsia="Times New Roman" w:hAnsi="Times New Roman"/>
                <w:sz w:val="11"/>
                <w:szCs w:val="11"/>
                <w:color w:val="auto"/>
                <w:w w:val="71"/>
              </w:rPr>
              <w:t>6</w:t>
            </w:r>
          </w:p>
        </w:tc>
        <w:tc>
          <w:tcPr>
            <w:tcW w:w="484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15-29</w:t>
            </w:r>
          </w:p>
        </w:tc>
        <w:tc>
          <w:tcPr>
            <w:tcW w:w="0" w:type="dxa"/>
            <w:vAlign w:val="bottom"/>
          </w:tcPr>
          <w:p>
            <w:pPr>
              <w:spacing w:after="0"/>
              <w:rPr>
                <w:sz w:val="1"/>
                <w:szCs w:val="1"/>
                <w:color w:val="auto"/>
              </w:rPr>
            </w:pPr>
          </w:p>
        </w:tc>
      </w:tr>
      <w:tr>
        <w:trPr>
          <w:trHeight w:val="179"/>
        </w:trPr>
        <w:tc>
          <w:tcPr>
            <w:tcW w:w="2260" w:type="dxa"/>
            <w:vAlign w:val="bottom"/>
            <w:shd w:val="clear" w:color="auto" w:fill="CCEEFF"/>
          </w:tcPr>
          <w:p>
            <w:pPr>
              <w:jc w:val="center"/>
              <w:ind w:right="703"/>
              <w:spacing w:after="0"/>
              <w:rPr>
                <w:sz w:val="20"/>
                <w:szCs w:val="20"/>
                <w:color w:val="auto"/>
              </w:rPr>
            </w:pPr>
            <w:r>
              <w:rPr>
                <w:rFonts w:ascii="Times New Roman" w:cs="Times New Roman" w:eastAsia="Times New Roman" w:hAnsi="Times New Roman"/>
                <w:sz w:val="11"/>
                <w:szCs w:val="11"/>
                <w:color w:val="auto"/>
              </w:rPr>
              <w:t>3</w:t>
            </w:r>
          </w:p>
        </w:tc>
        <w:tc>
          <w:tcPr>
            <w:tcW w:w="416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w w:val="71"/>
              </w:rPr>
              <w:t>7</w:t>
            </w:r>
          </w:p>
        </w:tc>
        <w:tc>
          <w:tcPr>
            <w:tcW w:w="484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30-59</w:t>
            </w:r>
          </w:p>
        </w:tc>
        <w:tc>
          <w:tcPr>
            <w:tcW w:w="0" w:type="dxa"/>
            <w:vAlign w:val="bottom"/>
          </w:tcPr>
          <w:p>
            <w:pPr>
              <w:spacing w:after="0"/>
              <w:rPr>
                <w:sz w:val="1"/>
                <w:szCs w:val="1"/>
                <w:color w:val="auto"/>
              </w:rPr>
            </w:pPr>
          </w:p>
        </w:tc>
      </w:tr>
      <w:tr>
        <w:trPr>
          <w:trHeight w:val="160"/>
        </w:trPr>
        <w:tc>
          <w:tcPr>
            <w:tcW w:w="2260" w:type="dxa"/>
            <w:vAlign w:val="bottom"/>
          </w:tcPr>
          <w:p>
            <w:pPr>
              <w:jc w:val="center"/>
              <w:ind w:right="703"/>
              <w:spacing w:after="0"/>
              <w:rPr>
                <w:sz w:val="20"/>
                <w:szCs w:val="20"/>
                <w:color w:val="auto"/>
              </w:rPr>
            </w:pPr>
            <w:r>
              <w:rPr>
                <w:rFonts w:ascii="Times New Roman" w:cs="Times New Roman" w:eastAsia="Times New Roman" w:hAnsi="Times New Roman"/>
                <w:sz w:val="11"/>
                <w:szCs w:val="11"/>
                <w:color w:val="auto"/>
              </w:rPr>
              <w:t>4</w:t>
            </w:r>
          </w:p>
        </w:tc>
        <w:tc>
          <w:tcPr>
            <w:tcW w:w="4160" w:type="dxa"/>
            <w:vAlign w:val="bottom"/>
          </w:tcPr>
          <w:p>
            <w:pPr>
              <w:jc w:val="center"/>
              <w:ind w:right="663"/>
              <w:spacing w:after="0"/>
              <w:rPr>
                <w:sz w:val="20"/>
                <w:szCs w:val="20"/>
                <w:color w:val="auto"/>
              </w:rPr>
            </w:pPr>
            <w:r>
              <w:rPr>
                <w:rFonts w:ascii="Times New Roman" w:cs="Times New Roman" w:eastAsia="Times New Roman" w:hAnsi="Times New Roman"/>
                <w:sz w:val="11"/>
                <w:szCs w:val="11"/>
                <w:color w:val="auto"/>
                <w:w w:val="71"/>
              </w:rPr>
              <w:t>8</w:t>
            </w:r>
          </w:p>
        </w:tc>
        <w:tc>
          <w:tcPr>
            <w:tcW w:w="484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60-89</w:t>
            </w:r>
          </w:p>
        </w:tc>
        <w:tc>
          <w:tcPr>
            <w:tcW w:w="0" w:type="dxa"/>
            <w:vAlign w:val="bottom"/>
          </w:tcPr>
          <w:p>
            <w:pPr>
              <w:spacing w:after="0"/>
              <w:rPr>
                <w:sz w:val="1"/>
                <w:szCs w:val="1"/>
                <w:color w:val="auto"/>
              </w:rPr>
            </w:pPr>
          </w:p>
        </w:tc>
      </w:tr>
      <w:tr>
        <w:trPr>
          <w:trHeight w:val="179"/>
        </w:trPr>
        <w:tc>
          <w:tcPr>
            <w:tcW w:w="2260" w:type="dxa"/>
            <w:vAlign w:val="bottom"/>
            <w:shd w:val="clear" w:color="auto" w:fill="CCEEFF"/>
          </w:tcPr>
          <w:p>
            <w:pPr>
              <w:jc w:val="center"/>
              <w:ind w:right="703"/>
              <w:spacing w:after="0"/>
              <w:rPr>
                <w:sz w:val="20"/>
                <w:szCs w:val="20"/>
                <w:color w:val="auto"/>
              </w:rPr>
            </w:pPr>
            <w:r>
              <w:rPr>
                <w:rFonts w:ascii="Times New Roman" w:cs="Times New Roman" w:eastAsia="Times New Roman" w:hAnsi="Times New Roman"/>
                <w:sz w:val="11"/>
                <w:szCs w:val="11"/>
                <w:color w:val="auto"/>
              </w:rPr>
              <w:t>Default</w:t>
            </w:r>
          </w:p>
        </w:tc>
        <w:tc>
          <w:tcPr>
            <w:tcW w:w="4160" w:type="dxa"/>
            <w:vAlign w:val="bottom"/>
            <w:shd w:val="clear" w:color="auto" w:fill="CCEEFF"/>
          </w:tcPr>
          <w:p>
            <w:pPr>
              <w:jc w:val="center"/>
              <w:ind w:right="663"/>
              <w:spacing w:after="0"/>
              <w:rPr>
                <w:sz w:val="20"/>
                <w:szCs w:val="20"/>
                <w:color w:val="auto"/>
              </w:rPr>
            </w:pPr>
            <w:r>
              <w:rPr>
                <w:rFonts w:ascii="Times New Roman" w:cs="Times New Roman" w:eastAsia="Times New Roman" w:hAnsi="Times New Roman"/>
                <w:sz w:val="11"/>
                <w:szCs w:val="11"/>
                <w:color w:val="auto"/>
              </w:rPr>
              <w:t>9+ and nonaccrual</w:t>
            </w:r>
          </w:p>
        </w:tc>
        <w:tc>
          <w:tcPr>
            <w:tcW w:w="484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90+ and nonaccrual</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Credit Losses</w:t>
      </w:r>
    </w:p>
    <w:p>
      <w:pPr>
        <w:spacing w:after="0" w:line="96"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In calculating expected credit losses, the Company individually evaluates loans on nonaccrual status, loans past due 90 days or more and still accruing interest, and loans that do not share similar risk characteristics with other loans in the pool.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amortized cost basis of nonaccrual loans as of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Nonaccrual with</w:t>
            </w:r>
          </w:p>
        </w:tc>
        <w:tc>
          <w:tcPr>
            <w:tcW w:w="80" w:type="dxa"/>
            <w:vAlign w:val="bottom"/>
          </w:tcPr>
          <w:p>
            <w:pPr>
              <w:spacing w:after="0"/>
              <w:rPr>
                <w:sz w:val="10"/>
                <w:szCs w:val="10"/>
                <w:color w:val="auto"/>
              </w:rPr>
            </w:pPr>
          </w:p>
        </w:tc>
        <w:tc>
          <w:tcPr>
            <w:tcW w:w="11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Nonaccrual with no</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nonaccrual</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Nonaccrual with</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Nonaccrual with no</w:t>
            </w:r>
          </w:p>
        </w:tc>
        <w:tc>
          <w:tcPr>
            <w:tcW w:w="10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Total nonaccrual</w:t>
            </w:r>
          </w:p>
        </w:tc>
        <w:tc>
          <w:tcPr>
            <w:tcW w:w="0" w:type="dxa"/>
            <w:vAlign w:val="bottom"/>
          </w:tcPr>
          <w:p>
            <w:pPr>
              <w:spacing w:after="0"/>
              <w:rPr>
                <w:sz w:val="1"/>
                <w:szCs w:val="1"/>
                <w:color w:val="auto"/>
              </w:rPr>
            </w:pPr>
          </w:p>
        </w:tc>
      </w:tr>
      <w:tr>
        <w:trPr>
          <w:trHeight w:val="153"/>
        </w:trPr>
        <w:tc>
          <w:tcPr>
            <w:tcW w:w="4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7,292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11,599</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7,219</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other</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3,197</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27,477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0" w:type="dxa"/>
            <w:vAlign w:val="bottom"/>
          </w:tcPr>
          <w:p>
            <w:pPr>
              <w:spacing w:after="0"/>
              <w:rPr>
                <w:sz w:val="1"/>
                <w:szCs w:val="1"/>
                <w:color w:val="auto"/>
              </w:rPr>
            </w:pPr>
          </w:p>
        </w:tc>
      </w:tr>
      <w:tr>
        <w:trPr>
          <w:trHeight w:val="160"/>
        </w:trPr>
        <w:tc>
          <w:tcPr>
            <w:tcW w:w="4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 owner occupied</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12,139</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5,067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16,448</w:t>
            </w:r>
          </w:p>
        </w:tc>
        <w:tc>
          <w:tcPr>
            <w:tcW w:w="0" w:type="dxa"/>
            <w:vAlign w:val="bottom"/>
          </w:tcPr>
          <w:p>
            <w:pPr>
              <w:spacing w:after="0"/>
              <w:rPr>
                <w:sz w:val="1"/>
                <w:szCs w:val="1"/>
                <w:color w:val="auto"/>
              </w:rPr>
            </w:pPr>
          </w:p>
        </w:tc>
      </w:tr>
      <w:tr>
        <w:trPr>
          <w:trHeight w:val="160"/>
        </w:trPr>
        <w:tc>
          <w:tcPr>
            <w:tcW w:w="4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Farmland</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151"/>
        </w:trPr>
        <w:tc>
          <w:tcPr>
            <w:tcW w:w="40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23,040</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26,503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49,543</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25,153</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30,751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55,904</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first lien</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3,400</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residential</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0" w:type="dxa"/>
            <w:vAlign w:val="bottom"/>
          </w:tcPr>
          <w:p>
            <w:pPr>
              <w:spacing w:after="0"/>
              <w:rPr>
                <w:sz w:val="1"/>
                <w:szCs w:val="1"/>
                <w:color w:val="auto"/>
              </w:rPr>
            </w:pPr>
          </w:p>
        </w:tc>
      </w:tr>
      <w:tr>
        <w:trPr>
          <w:trHeight w:val="195"/>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55,163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60,939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was no interest income recognized on nonaccrual loans during the three and nine months ended September 30, 2026 and 2025 while the loans were in nonaccrual status.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Collateral Dependent Financial Assets</w:t>
      </w:r>
    </w:p>
    <w:p>
      <w:pPr>
        <w:spacing w:after="0" w:line="9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A collateral dependent financial asset is a loan that relies solely on the operation or sale of the collateral for repayment. In evaluating the overall risk associated with a loan, the Company considers character, overall financial condition and resources, and payment record of the borrower; the prospects for support from any financially responsible guarantors; and the nature and degree of protection provided by the cash flow and value of any underlying collateral. However, as other sources of repayment become inadequate over time, the significance of the collateral’s value increases and the loan may become collateral dependent.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presents the amortized cost basis of collateral dependent loans by loan class, for borrowers experiencing financial difficulty, as of September 30, 2026 and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Type of Collateral</w:t>
            </w:r>
          </w:p>
        </w:tc>
        <w:tc>
          <w:tcPr>
            <w:tcW w:w="1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6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18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Blanket Lien</w:t>
            </w: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10,523</w:t>
            </w: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other</w:t>
            </w: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r>
      <w:tr>
        <w:trPr>
          <w:trHeight w:val="17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Non-owner occupied</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26,263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3"/>
                <w:szCs w:val="13"/>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26,263</w:t>
            </w:r>
          </w:p>
        </w:tc>
      </w:tr>
      <w:tr>
        <w:trPr>
          <w:trHeight w:val="17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Owner occupied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2,504</w:t>
            </w: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3"/>
                <w:szCs w:val="13"/>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5,067</w:t>
            </w:r>
          </w:p>
        </w:tc>
      </w:tr>
      <w:tr>
        <w:trPr>
          <w:trHeight w:val="17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first lien</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3"/>
                <w:szCs w:val="13"/>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1,140</w:t>
            </w:r>
          </w:p>
        </w:tc>
      </w:tr>
      <w:tr>
        <w:trPr>
          <w:trHeight w:val="17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residential</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r>
      <w:tr>
        <w:trPr>
          <w:trHeight w:val="170"/>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collateral dependent loans</w:t>
            </w: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36,963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8,060</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45,703</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w:t>
            </w:r>
          </w:p>
        </w:tc>
        <w:tc>
          <w:tcPr>
            <w:tcW w:w="100" w:type="dxa"/>
            <w:vAlign w:val="bottom"/>
          </w:tcPr>
          <w:p>
            <w:pPr>
              <w:spacing w:after="0"/>
              <w:rPr>
                <w:sz w:val="13"/>
                <w:szCs w:val="13"/>
                <w:color w:val="auto"/>
              </w:rPr>
            </w:pPr>
          </w:p>
        </w:tc>
        <w:tc>
          <w:tcPr>
            <w:tcW w:w="1100" w:type="dxa"/>
            <w:vAlign w:val="bottom"/>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w:t>
            </w:r>
          </w:p>
        </w:tc>
      </w:tr>
      <w:tr>
        <w:trPr>
          <w:trHeight w:val="17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other</w:t>
            </w: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w:t>
            </w:r>
          </w:p>
        </w:tc>
      </w:tr>
      <w:tr>
        <w:trPr>
          <w:trHeight w:val="160"/>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Non-owner occupied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13,951</w:t>
            </w:r>
          </w:p>
        </w:tc>
      </w:tr>
      <w:tr>
        <w:trPr>
          <w:trHeight w:val="160"/>
        </w:trPr>
        <w:tc>
          <w:tcPr>
            <w:tcW w:w="5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Owner occupied</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10,171</w:t>
            </w:r>
          </w:p>
        </w:tc>
      </w:tr>
      <w:tr>
        <w:trPr>
          <w:trHeight w:val="17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16,448</w:t>
            </w:r>
          </w:p>
        </w:tc>
      </w:tr>
      <w:tr>
        <w:trPr>
          <w:trHeight w:val="160"/>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Farmland</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gridSpan w:val="2"/>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w:t>
            </w:r>
          </w:p>
        </w:tc>
      </w:tr>
      <w:tr>
        <w:trPr>
          <w:trHeight w:val="19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collateral dependent loans</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38,975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46,978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aging status of the recorded investment in loans by class as of September 30, 2026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Accruing loans</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83"/>
              <w:spacing w:after="0" w:line="119" w:lineRule="exact"/>
              <w:rPr>
                <w:sz w:val="20"/>
                <w:szCs w:val="20"/>
                <w:color w:val="auto"/>
              </w:rPr>
            </w:pPr>
            <w:r>
              <w:rPr>
                <w:rFonts w:ascii="Times New Roman" w:cs="Times New Roman" w:eastAsia="Times New Roman" w:hAnsi="Times New Roman"/>
                <w:sz w:val="11"/>
                <w:szCs w:val="11"/>
                <w:b w:val="1"/>
                <w:bCs w:val="1"/>
                <w:color w:val="auto"/>
              </w:rPr>
              <w:t>30-59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Past due</w:t>
            </w:r>
          </w:p>
        </w:tc>
        <w:tc>
          <w:tcPr>
            <w:tcW w:w="2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tcPr>
          <w:p>
            <w:pPr>
              <w:spacing w:after="0"/>
              <w:rPr>
                <w:sz w:val="9"/>
                <w:szCs w:val="9"/>
                <w:color w:val="auto"/>
              </w:rPr>
            </w:pPr>
          </w:p>
        </w:tc>
        <w:tc>
          <w:tcPr>
            <w:tcW w:w="102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days</w:t>
            </w:r>
          </w:p>
        </w:tc>
        <w:tc>
          <w:tcPr>
            <w:tcW w:w="8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60-89 days past due</w:t>
            </w: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260" w:type="dxa"/>
            <w:vAlign w:val="bottom"/>
          </w:tcPr>
          <w:p>
            <w:pPr>
              <w:spacing w:after="0"/>
              <w:rPr>
                <w:sz w:val="9"/>
                <w:szCs w:val="9"/>
                <w:color w:val="auto"/>
              </w:rPr>
            </w:pPr>
          </w:p>
        </w:tc>
        <w:tc>
          <w:tcPr>
            <w:tcW w:w="92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or more</w:t>
            </w:r>
          </w:p>
        </w:tc>
        <w:tc>
          <w:tcPr>
            <w:tcW w:w="2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1,062,025</w:t>
            </w:r>
          </w:p>
        </w:tc>
        <w:tc>
          <w:tcPr>
            <w:tcW w:w="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11,599</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1,073,651</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100,322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9,282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110,162</w:t>
            </w: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1,449,597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1,477,074</w:t>
            </w: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 owner occupied</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393,276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397,372</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383,261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388,328</w:t>
            </w: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Farmland</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68,512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69,704</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249,268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249,268</w:t>
            </w:r>
          </w:p>
        </w:tc>
        <w:tc>
          <w:tcPr>
            <w:tcW w:w="0" w:type="dxa"/>
            <w:vAlign w:val="bottom"/>
          </w:tcPr>
          <w:p>
            <w:pPr>
              <w:spacing w:after="0"/>
              <w:rPr>
                <w:sz w:val="1"/>
                <w:szCs w:val="1"/>
                <w:color w:val="auto"/>
              </w:rPr>
            </w:pPr>
          </w:p>
        </w:tc>
      </w:tr>
      <w:tr>
        <w:trPr>
          <w:trHeight w:val="151"/>
        </w:trPr>
        <w:tc>
          <w:tcPr>
            <w:tcW w:w="2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3,706,261</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4,215</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2,498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3,042</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9,755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49,543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3,765,559</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first lien</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283,383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288,181</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residential</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69,028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69,840</w:t>
            </w: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84,263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84,510</w:t>
            </w: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other</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43,647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44,399</w:t>
            </w:r>
          </w:p>
        </w:tc>
        <w:tc>
          <w:tcPr>
            <w:tcW w:w="0" w:type="dxa"/>
            <w:vAlign w:val="bottom"/>
          </w:tcPr>
          <w:p>
            <w:pPr>
              <w:spacing w:after="0"/>
              <w:rPr>
                <w:sz w:val="1"/>
                <w:szCs w:val="1"/>
                <w:color w:val="auto"/>
              </w:rPr>
            </w:pPr>
          </w:p>
        </w:tc>
      </w:tr>
      <w:tr>
        <w:trPr>
          <w:trHeight w:val="17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28,453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30,339</w:t>
            </w:r>
          </w:p>
        </w:tc>
        <w:tc>
          <w:tcPr>
            <w:tcW w:w="0" w:type="dxa"/>
            <w:vAlign w:val="bottom"/>
          </w:tcPr>
          <w:p>
            <w:pPr>
              <w:spacing w:after="0"/>
              <w:rPr>
                <w:sz w:val="1"/>
                <w:szCs w:val="1"/>
                <w:color w:val="auto"/>
              </w:rPr>
            </w:pPr>
          </w:p>
        </w:tc>
      </w:tr>
      <w:tr>
        <w:trPr>
          <w:trHeight w:val="170"/>
        </w:trPr>
        <w:tc>
          <w:tcPr>
            <w:tcW w:w="2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loans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4,215,035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5,406</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3,697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3,527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12,630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55,163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4,282,828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aging status of the recorded investment in loans by class as of December 31,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Accruing loans</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83"/>
              <w:spacing w:after="0" w:line="117" w:lineRule="exact"/>
              <w:rPr>
                <w:sz w:val="20"/>
                <w:szCs w:val="20"/>
                <w:color w:val="auto"/>
              </w:rPr>
            </w:pPr>
            <w:r>
              <w:rPr>
                <w:rFonts w:ascii="Times New Roman" w:cs="Times New Roman" w:eastAsia="Times New Roman" w:hAnsi="Times New Roman"/>
                <w:sz w:val="11"/>
                <w:szCs w:val="11"/>
                <w:b w:val="1"/>
                <w:bCs w:val="1"/>
                <w:color w:val="auto"/>
              </w:rPr>
              <w:t>30-59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jc w:val="center"/>
              <w:ind w:right="303"/>
              <w:spacing w:after="0" w:line="117" w:lineRule="exact"/>
              <w:rPr>
                <w:sz w:val="20"/>
                <w:szCs w:val="20"/>
                <w:color w:val="auto"/>
              </w:rPr>
            </w:pPr>
            <w:r>
              <w:rPr>
                <w:rFonts w:ascii="Times New Roman" w:cs="Times New Roman" w:eastAsia="Times New Roman" w:hAnsi="Times New Roman"/>
                <w:sz w:val="11"/>
                <w:szCs w:val="11"/>
                <w:b w:val="1"/>
                <w:bCs w:val="1"/>
                <w:color w:val="auto"/>
              </w:rPr>
              <w:t>60-89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w w:val="99"/>
              </w:rPr>
              <w:t>Past due</w:t>
            </w:r>
          </w:p>
        </w:tc>
        <w:tc>
          <w:tcPr>
            <w:tcW w:w="2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tcPr>
          <w:p>
            <w:pPr>
              <w:spacing w:after="0"/>
              <w:rPr>
                <w:sz w:val="10"/>
                <w:szCs w:val="10"/>
                <w:color w:val="auto"/>
              </w:rPr>
            </w:pPr>
          </w:p>
        </w:tc>
        <w:tc>
          <w:tcPr>
            <w:tcW w:w="102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days</w:t>
            </w:r>
          </w:p>
        </w:tc>
        <w:tc>
          <w:tcPr>
            <w:tcW w:w="340" w:type="dxa"/>
            <w:vAlign w:val="bottom"/>
          </w:tcPr>
          <w:p>
            <w:pPr>
              <w:spacing w:after="0"/>
              <w:rPr>
                <w:sz w:val="10"/>
                <w:szCs w:val="10"/>
                <w:color w:val="auto"/>
              </w:rPr>
            </w:pPr>
          </w:p>
        </w:tc>
        <w:tc>
          <w:tcPr>
            <w:tcW w:w="90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days</w:t>
            </w:r>
          </w:p>
        </w:tc>
        <w:tc>
          <w:tcPr>
            <w:tcW w:w="220" w:type="dxa"/>
            <w:vAlign w:val="bottom"/>
          </w:tcPr>
          <w:p>
            <w:pPr>
              <w:spacing w:after="0"/>
              <w:rPr>
                <w:sz w:val="10"/>
                <w:szCs w:val="10"/>
                <w:color w:val="auto"/>
              </w:rPr>
            </w:pPr>
          </w:p>
        </w:tc>
        <w:tc>
          <w:tcPr>
            <w:tcW w:w="10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260" w:type="dxa"/>
            <w:vAlign w:val="bottom"/>
          </w:tcPr>
          <w:p>
            <w:pPr>
              <w:spacing w:after="0"/>
              <w:rPr>
                <w:sz w:val="10"/>
                <w:szCs w:val="10"/>
                <w:color w:val="auto"/>
              </w:rPr>
            </w:pPr>
          </w:p>
        </w:tc>
        <w:tc>
          <w:tcPr>
            <w:tcW w:w="92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34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or more</w:t>
            </w:r>
          </w:p>
        </w:tc>
        <w:tc>
          <w:tcPr>
            <w:tcW w:w="2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1,053,096</w:t>
            </w:r>
          </w:p>
        </w:tc>
        <w:tc>
          <w:tcPr>
            <w:tcW w:w="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2,035</w:t>
            </w:r>
          </w:p>
        </w:tc>
        <w:tc>
          <w:tcPr>
            <w:tcW w:w="8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2,376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7,219</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1,062,691</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101,686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115,830</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1,432,637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1,447,894</w:t>
            </w: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 owner occupied</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430,972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444,443</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366,929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383,377</w:t>
            </w: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Farmland</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65,267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66,950</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282,169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286,140</w:t>
            </w:r>
          </w:p>
        </w:tc>
        <w:tc>
          <w:tcPr>
            <w:tcW w:w="0" w:type="dxa"/>
            <w:vAlign w:val="bottom"/>
          </w:tcPr>
          <w:p>
            <w:pPr>
              <w:spacing w:after="0"/>
              <w:rPr>
                <w:sz w:val="1"/>
                <w:szCs w:val="1"/>
                <w:color w:val="auto"/>
              </w:rPr>
            </w:pPr>
          </w:p>
        </w:tc>
      </w:tr>
      <w:tr>
        <w:trPr>
          <w:trHeight w:val="151"/>
        </w:trPr>
        <w:tc>
          <w:tcPr>
            <w:tcW w:w="2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3,732,756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10,761</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3,395</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4,509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18,665</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55,904</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3,807,325</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first lien</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282,320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286,178</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residential</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62,459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63,445</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99,474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99,692</w:t>
            </w: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other</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43,618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44,383</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50,981</w:t>
            </w:r>
          </w:p>
        </w:tc>
        <w:tc>
          <w:tcPr>
            <w:tcW w:w="0" w:type="dxa"/>
            <w:vAlign w:val="bottom"/>
          </w:tcPr>
          <w:p>
            <w:pPr>
              <w:spacing w:after="0"/>
              <w:rPr>
                <w:sz w:val="1"/>
                <w:szCs w:val="1"/>
                <w:color w:val="auto"/>
              </w:rPr>
            </w:pPr>
          </w:p>
        </w:tc>
      </w:tr>
      <w:tr>
        <w:trPr>
          <w:trHeight w:val="170"/>
        </w:trPr>
        <w:tc>
          <w:tcPr>
            <w:tcW w:w="2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loans</w:t>
            </w: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4,269,442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12,651</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4,428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4,544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4,352,004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Restructurings</w:t>
      </w:r>
    </w:p>
    <w:p>
      <w:pPr>
        <w:spacing w:after="0" w:line="181"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Company may offer various types of concessions when a borrower is experiencing financial difficulties that result in a direct change in the timing or amount of contractual cash flows including principal forgiveness, interest rate reductions, other-than-insignificant payment delays, term extensions, and combinations of the listed modifications. Commercial loans modified in a loan restructuring often involve temporary interest-only payments, term extensions, and converting revolving credit lines to term loans. Additional collateral, a co-borrower, or a guarantor is often requested.</w:t>
      </w:r>
    </w:p>
    <w:p>
      <w:pPr>
        <w:spacing w:after="0" w:line="140"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Loans modified in a loan restructuring for the Company may have the financial effect of increasing the specific allowance associated with the loan. An allowance for loans that have been modified in a loan restructuring is measured based on the probability of default and loss given default model, the loan's observable market price, or the estimated fair value of the collateral, less any selling costs, if the loan is collateral dependent. Management exercises significant judgment in developing these estimates.</w:t>
      </w:r>
    </w:p>
    <w:p>
      <w:pPr>
        <w:spacing w:after="0" w:line="13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Commercial and consumer loans modified in a loan restructuring are closely monitored for delinquency as an early indicator of possible future default. If loans modified in a loan restructuring subsequently default, the Company evaluates the loan for possible further loss. The allowance may be increased, adjustments may be made in the allocation of the allowance, or partial charge-offs may be taken to further write-down the carrying value of the loan.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by loan portfolio segment, a summary of loan restructurings for the three and nine months ended 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760" w:type="dxa"/>
            <w:vAlign w:val="bottom"/>
            <w:tcBorders>
              <w:bottom w:val="single" w:sz="8" w:color="auto"/>
            </w:tcBorders>
          </w:tcPr>
          <w:p>
            <w:pPr>
              <w:spacing w:after="0"/>
              <w:rPr>
                <w:sz w:val="13"/>
                <w:szCs w:val="13"/>
                <w:color w:val="auto"/>
              </w:rPr>
            </w:pPr>
          </w:p>
        </w:tc>
      </w:tr>
      <w:tr>
        <w:trPr>
          <w:trHeight w:val="160"/>
        </w:trPr>
        <w:tc>
          <w:tcPr>
            <w:tcW w:w="3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3"/>
                <w:szCs w:val="13"/>
                <w:color w:val="auto"/>
              </w:rPr>
            </w:pP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3"/>
                <w:szCs w:val="13"/>
                <w:color w:val="auto"/>
              </w:rPr>
            </w:pP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2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200" w:type="dxa"/>
            <w:vAlign w:val="bottom"/>
          </w:tcPr>
          <w:p>
            <w:pPr>
              <w:spacing w:after="0"/>
              <w:rPr>
                <w:sz w:val="13"/>
                <w:szCs w:val="13"/>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2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Count</w:t>
            </w:r>
          </w:p>
        </w:tc>
      </w:tr>
      <w:tr>
        <w:trPr>
          <w:trHeight w:val="15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0"/>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6,263</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10,901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10,652</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11,949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7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other</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845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8,069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7,706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8,069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60"/>
        </w:trPr>
        <w:tc>
          <w:tcPr>
            <w:tcW w:w="3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Multi-family</w:t>
            </w:r>
          </w:p>
        </w:tc>
        <w:tc>
          <w:tcPr>
            <w:tcW w:w="200" w:type="dxa"/>
            <w:vAlign w:val="bottom"/>
          </w:tcPr>
          <w:p>
            <w:pPr>
              <w:spacing w:after="0"/>
              <w:rPr>
                <w:sz w:val="13"/>
                <w:szCs w:val="13"/>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14,113</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120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387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00" w:type="dxa"/>
            <w:vAlign w:val="bottom"/>
          </w:tcPr>
          <w:p>
            <w:pPr>
              <w:spacing w:after="0"/>
              <w:rPr>
                <w:sz w:val="13"/>
                <w:szCs w:val="13"/>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1,571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1,571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70"/>
        </w:trPr>
        <w:tc>
          <w:tcPr>
            <w:tcW w:w="3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commercial loans</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6,263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20,661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32,516</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22,821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6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first lien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162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60"/>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residential</w:t>
            </w:r>
          </w:p>
        </w:tc>
        <w:tc>
          <w:tcPr>
            <w:tcW w:w="200" w:type="dxa"/>
            <w:vAlign w:val="bottom"/>
          </w:tcPr>
          <w:p>
            <w:pPr>
              <w:spacing w:after="0"/>
              <w:rPr>
                <w:sz w:val="13"/>
                <w:szCs w:val="13"/>
                <w:color w:val="auto"/>
              </w:rPr>
            </w:pPr>
          </w:p>
        </w:tc>
        <w:tc>
          <w:tcPr>
            <w:tcW w:w="9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95"/>
        </w:trPr>
        <w:tc>
          <w:tcPr>
            <w:tcW w:w="30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loan restructurings</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6,263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20,681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32,553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22,993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a summary of loan restructurings, by loan portfolio segment and type of restructuring, for the three and nine months ended September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w:t>
            </w: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Payment Deferral</w:t>
            </w:r>
          </w:p>
        </w:tc>
        <w:tc>
          <w:tcPr>
            <w:tcW w:w="180" w:type="dxa"/>
            <w:vAlign w:val="bottom"/>
          </w:tcPr>
          <w:p>
            <w:pPr>
              <w:spacing w:after="0"/>
              <w:rPr>
                <w:sz w:val="10"/>
                <w:szCs w:val="10"/>
                <w:color w:val="auto"/>
              </w:rPr>
            </w:pPr>
          </w:p>
        </w:tc>
        <w:tc>
          <w:tcPr>
            <w:tcW w:w="11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140" w:type="dxa"/>
            <w:vAlign w:val="bottom"/>
          </w:tcPr>
          <w:p>
            <w:pPr>
              <w:spacing w:after="0"/>
              <w:rPr>
                <w:sz w:val="10"/>
                <w:szCs w:val="10"/>
                <w:color w:val="auto"/>
              </w:rPr>
            </w:pPr>
          </w:p>
        </w:tc>
        <w:tc>
          <w:tcPr>
            <w:tcW w:w="122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Total Modifications</w:t>
            </w:r>
          </w:p>
        </w:tc>
        <w:tc>
          <w:tcPr>
            <w:tcW w:w="13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Total Class of Financing</w:t>
            </w:r>
          </w:p>
        </w:tc>
        <w:tc>
          <w:tcPr>
            <w:tcW w:w="0" w:type="dxa"/>
            <w:vAlign w:val="bottom"/>
          </w:tcPr>
          <w:p>
            <w:pPr>
              <w:spacing w:after="0"/>
              <w:rPr>
                <w:sz w:val="1"/>
                <w:szCs w:val="1"/>
                <w:color w:val="auto"/>
              </w:rPr>
            </w:pPr>
          </w:p>
        </w:tc>
      </w:tr>
      <w:tr>
        <w:trPr>
          <w:trHeight w:val="115"/>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380" w:type="dxa"/>
            <w:vAlign w:val="bottom"/>
          </w:tcPr>
          <w:p>
            <w:pPr>
              <w:jc w:val="center"/>
              <w:ind w:right="3"/>
              <w:spacing w:after="0" w:line="115" w:lineRule="exact"/>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55"/>
        </w:trPr>
        <w:tc>
          <w:tcPr>
            <w:tcW w:w="592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6,263</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6,263</w:t>
            </w:r>
          </w:p>
        </w:tc>
        <w:tc>
          <w:tcPr>
            <w:tcW w:w="1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1"/>
                <w:szCs w:val="11"/>
                <w:color w:val="auto"/>
              </w:rPr>
              <w:t>0.58 %</w:t>
            </w:r>
          </w:p>
        </w:tc>
        <w:tc>
          <w:tcPr>
            <w:tcW w:w="0" w:type="dxa"/>
            <w:vAlign w:val="bottom"/>
          </w:tcPr>
          <w:p>
            <w:pPr>
              <w:spacing w:after="0"/>
              <w:rPr>
                <w:sz w:val="1"/>
                <w:szCs w:val="1"/>
                <w:color w:val="auto"/>
              </w:rPr>
            </w:pPr>
          </w:p>
        </w:tc>
      </w:tr>
      <w:tr>
        <w:trPr>
          <w:trHeight w:val="16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commercial loans</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6,263</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6,263</w:t>
            </w:r>
          </w:p>
        </w:tc>
        <w:tc>
          <w:tcPr>
            <w:tcW w:w="13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0.17 %</w:t>
            </w:r>
          </w:p>
        </w:tc>
        <w:tc>
          <w:tcPr>
            <w:tcW w:w="0" w:type="dxa"/>
            <w:vAlign w:val="bottom"/>
          </w:tcPr>
          <w:p>
            <w:pPr>
              <w:spacing w:after="0"/>
              <w:rPr>
                <w:sz w:val="1"/>
                <w:szCs w:val="1"/>
                <w:color w:val="auto"/>
              </w:rPr>
            </w:pPr>
          </w:p>
        </w:tc>
      </w:tr>
      <w:tr>
        <w:trPr>
          <w:trHeight w:val="170"/>
        </w:trPr>
        <w:tc>
          <w:tcPr>
            <w:tcW w:w="59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6,263</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6,263</w:t>
            </w:r>
          </w:p>
        </w:tc>
        <w:tc>
          <w:tcPr>
            <w:tcW w:w="1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1"/>
                <w:szCs w:val="11"/>
                <w:color w:val="auto"/>
              </w:rPr>
              <w:t>0.15 %</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3"/>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Payment Deferral</w:t>
            </w:r>
          </w:p>
        </w:tc>
        <w:tc>
          <w:tcPr>
            <w:tcW w:w="180" w:type="dxa"/>
            <w:vAlign w:val="bottom"/>
          </w:tcPr>
          <w:p>
            <w:pPr>
              <w:spacing w:after="0"/>
              <w:rPr>
                <w:sz w:val="10"/>
                <w:szCs w:val="10"/>
                <w:color w:val="auto"/>
              </w:rPr>
            </w:pPr>
          </w:p>
        </w:tc>
        <w:tc>
          <w:tcPr>
            <w:tcW w:w="11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140" w:type="dxa"/>
            <w:vAlign w:val="bottom"/>
          </w:tcPr>
          <w:p>
            <w:pPr>
              <w:spacing w:after="0"/>
              <w:rPr>
                <w:sz w:val="10"/>
                <w:szCs w:val="10"/>
                <w:color w:val="auto"/>
              </w:rPr>
            </w:pPr>
          </w:p>
        </w:tc>
        <w:tc>
          <w:tcPr>
            <w:tcW w:w="122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Total Modifications</w:t>
            </w:r>
          </w:p>
        </w:tc>
        <w:tc>
          <w:tcPr>
            <w:tcW w:w="13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Total Class of Financing</w:t>
            </w:r>
          </w:p>
        </w:tc>
        <w:tc>
          <w:tcPr>
            <w:tcW w:w="0" w:type="dxa"/>
            <w:vAlign w:val="bottom"/>
          </w:tcPr>
          <w:p>
            <w:pPr>
              <w:spacing w:after="0"/>
              <w:rPr>
                <w:sz w:val="1"/>
                <w:szCs w:val="1"/>
                <w:color w:val="auto"/>
              </w:rPr>
            </w:pPr>
          </w:p>
        </w:tc>
      </w:tr>
      <w:tr>
        <w:trPr>
          <w:trHeight w:val="117"/>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38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54"/>
        </w:trPr>
        <w:tc>
          <w:tcPr>
            <w:tcW w:w="592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8,563</w:t>
            </w:r>
          </w:p>
        </w:tc>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10,652</w:t>
            </w:r>
          </w:p>
        </w:tc>
        <w:tc>
          <w:tcPr>
            <w:tcW w:w="1380" w:type="dxa"/>
            <w:vAlign w:val="bottom"/>
          </w:tcPr>
          <w:p>
            <w:pPr>
              <w:ind w:left="1040"/>
              <w:spacing w:after="0"/>
              <w:rPr>
                <w:sz w:val="20"/>
                <w:szCs w:val="20"/>
                <w:color w:val="auto"/>
              </w:rPr>
            </w:pPr>
            <w:r>
              <w:rPr>
                <w:rFonts w:ascii="Times New Roman" w:cs="Times New Roman" w:eastAsia="Times New Roman" w:hAnsi="Times New Roman"/>
                <w:sz w:val="11"/>
                <w:szCs w:val="11"/>
                <w:color w:val="auto"/>
              </w:rPr>
              <w:t>0.99 %</w:t>
            </w:r>
          </w:p>
        </w:tc>
        <w:tc>
          <w:tcPr>
            <w:tcW w:w="0" w:type="dxa"/>
            <w:vAlign w:val="bottom"/>
          </w:tcPr>
          <w:p>
            <w:pPr>
              <w:spacing w:after="0"/>
              <w:rPr>
                <w:sz w:val="1"/>
                <w:szCs w:val="1"/>
                <w:color w:val="auto"/>
              </w:rPr>
            </w:pPr>
          </w:p>
        </w:tc>
      </w:tr>
      <w:tr>
        <w:trPr>
          <w:trHeight w:val="17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7,706</w:t>
            </w:r>
          </w:p>
        </w:tc>
        <w:tc>
          <w:tcPr>
            <w:tcW w:w="14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7,706</w:t>
            </w:r>
          </w:p>
        </w:tc>
        <w:tc>
          <w:tcPr>
            <w:tcW w:w="1380" w:type="dxa"/>
            <w:vAlign w:val="bottom"/>
          </w:tcPr>
          <w:p>
            <w:pPr>
              <w:ind w:left="1040"/>
              <w:spacing w:after="0"/>
              <w:rPr>
                <w:sz w:val="20"/>
                <w:szCs w:val="20"/>
                <w:color w:val="auto"/>
              </w:rPr>
            </w:pPr>
            <w:r>
              <w:rPr>
                <w:rFonts w:ascii="Times New Roman" w:cs="Times New Roman" w:eastAsia="Times New Roman" w:hAnsi="Times New Roman"/>
                <w:sz w:val="11"/>
                <w:szCs w:val="11"/>
                <w:color w:val="auto"/>
              </w:rPr>
              <w:t>0.52</w:t>
            </w:r>
          </w:p>
        </w:tc>
        <w:tc>
          <w:tcPr>
            <w:tcW w:w="0" w:type="dxa"/>
            <w:vAlign w:val="bottom"/>
          </w:tcPr>
          <w:p>
            <w:pPr>
              <w:spacing w:after="0"/>
              <w:rPr>
                <w:sz w:val="1"/>
                <w:szCs w:val="1"/>
                <w:color w:val="auto"/>
              </w:rPr>
            </w:pPr>
          </w:p>
        </w:tc>
      </w:tr>
      <w:tr>
        <w:trPr>
          <w:trHeight w:val="17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Multi-family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5,113</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14,113</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160"/>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45</w:t>
            </w:r>
          </w:p>
        </w:tc>
        <w:tc>
          <w:tcPr>
            <w:tcW w:w="1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1"/>
                <w:szCs w:val="11"/>
                <w:color w:val="auto"/>
              </w:rPr>
              <w:t>0.06</w:t>
            </w:r>
          </w:p>
        </w:tc>
        <w:tc>
          <w:tcPr>
            <w:tcW w:w="0" w:type="dxa"/>
            <w:vAlign w:val="bottom"/>
          </w:tcPr>
          <w:p>
            <w:pPr>
              <w:spacing w:after="0"/>
              <w:rPr>
                <w:sz w:val="1"/>
                <w:szCs w:val="1"/>
                <w:color w:val="auto"/>
              </w:rPr>
            </w:pPr>
          </w:p>
        </w:tc>
      </w:tr>
      <w:tr>
        <w:trPr>
          <w:trHeight w:val="17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commercial loans</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7,202</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25,314</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32,516</w:t>
            </w:r>
          </w:p>
        </w:tc>
        <w:tc>
          <w:tcPr>
            <w:tcW w:w="13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0.86 %</w:t>
            </w:r>
          </w:p>
        </w:tc>
        <w:tc>
          <w:tcPr>
            <w:tcW w:w="0" w:type="dxa"/>
            <w:vAlign w:val="bottom"/>
          </w:tcPr>
          <w:p>
            <w:pPr>
              <w:spacing w:after="0"/>
              <w:rPr>
                <w:sz w:val="1"/>
                <w:szCs w:val="1"/>
                <w:color w:val="auto"/>
              </w:rPr>
            </w:pPr>
          </w:p>
        </w:tc>
      </w:tr>
      <w:tr>
        <w:trPr>
          <w:trHeight w:val="140"/>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first lien</w:t>
            </w: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37</w:t>
            </w:r>
          </w:p>
        </w:tc>
        <w:tc>
          <w:tcPr>
            <w:tcW w:w="13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70"/>
        </w:trPr>
        <w:tc>
          <w:tcPr>
            <w:tcW w:w="59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7,202</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25,351</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32,553</w:t>
            </w:r>
          </w:p>
        </w:tc>
        <w:tc>
          <w:tcPr>
            <w:tcW w:w="1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1"/>
                <w:szCs w:val="11"/>
                <w:color w:val="auto"/>
              </w:rPr>
              <w:t>0.76 %</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a summary of loan restructurings, by loan portfolio segment and type of restructuring, for the three and nine months ended September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Payment Deferral</w:t>
            </w:r>
          </w:p>
        </w:tc>
        <w:tc>
          <w:tcPr>
            <w:tcW w:w="160" w:type="dxa"/>
            <w:vAlign w:val="bottom"/>
          </w:tcPr>
          <w:p>
            <w:pPr>
              <w:spacing w:after="0"/>
              <w:rPr>
                <w:sz w:val="10"/>
                <w:szCs w:val="10"/>
                <w:color w:val="auto"/>
              </w:rPr>
            </w:pPr>
          </w:p>
        </w:tc>
        <w:tc>
          <w:tcPr>
            <w:tcW w:w="108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126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1"/>
                <w:szCs w:val="11"/>
                <w:b w:val="1"/>
                <w:bCs w:val="1"/>
                <w:color w:val="auto"/>
              </w:rPr>
              <w:t>Interest Rate Reduction /</w:t>
            </w:r>
          </w:p>
        </w:tc>
        <w:tc>
          <w:tcPr>
            <w:tcW w:w="120" w:type="dxa"/>
            <w:vAlign w:val="bottom"/>
          </w:tcPr>
          <w:p>
            <w:pPr>
              <w:spacing w:after="0"/>
              <w:rPr>
                <w:sz w:val="10"/>
                <w:szCs w:val="10"/>
                <w:color w:val="auto"/>
              </w:rPr>
            </w:pPr>
          </w:p>
        </w:tc>
        <w:tc>
          <w:tcPr>
            <w:tcW w:w="116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Total Modifications</w:t>
            </w:r>
          </w:p>
        </w:tc>
        <w:tc>
          <w:tcPr>
            <w:tcW w:w="13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Total Class of Financing</w:t>
            </w:r>
          </w:p>
        </w:tc>
        <w:tc>
          <w:tcPr>
            <w:tcW w:w="0" w:type="dxa"/>
            <w:vAlign w:val="bottom"/>
          </w:tcPr>
          <w:p>
            <w:pPr>
              <w:spacing w:after="0"/>
              <w:rPr>
                <w:sz w:val="1"/>
                <w:szCs w:val="1"/>
                <w:color w:val="auto"/>
              </w:rPr>
            </w:pPr>
          </w:p>
        </w:tc>
      </w:tr>
      <w:tr>
        <w:trPr>
          <w:trHeight w:val="115"/>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right"/>
              <w:ind w:right="203"/>
              <w:spacing w:after="0" w:line="115" w:lineRule="exact"/>
              <w:rPr>
                <w:sz w:val="20"/>
                <w:szCs w:val="20"/>
                <w:color w:val="auto"/>
              </w:rPr>
            </w:pPr>
            <w:r>
              <w:rPr>
                <w:rFonts w:ascii="Times New Roman" w:cs="Times New Roman" w:eastAsia="Times New Roman" w:hAnsi="Times New Roman"/>
                <w:sz w:val="11"/>
                <w:szCs w:val="11"/>
                <w:b w:val="1"/>
                <w:bCs w:val="1"/>
                <w:color w:val="auto"/>
              </w:rPr>
              <w:t>Term Extension</w:t>
            </w: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3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w:t>
            </w: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10,901</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10,901</w:t>
            </w:r>
          </w:p>
        </w:tc>
        <w:tc>
          <w:tcPr>
            <w:tcW w:w="13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1.03 %</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20" w:type="dxa"/>
            <w:vAlign w:val="bottom"/>
          </w:tcPr>
          <w:p>
            <w:pPr>
              <w:spacing w:after="0"/>
              <w:rPr>
                <w:sz w:val="13"/>
                <w:szCs w:val="13"/>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8,069</w:t>
            </w:r>
          </w:p>
        </w:tc>
        <w:tc>
          <w:tcPr>
            <w:tcW w:w="13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0.56</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120</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0.18</w:t>
            </w:r>
          </w:p>
        </w:tc>
        <w:tc>
          <w:tcPr>
            <w:tcW w:w="0" w:type="dxa"/>
            <w:vAlign w:val="bottom"/>
          </w:tcPr>
          <w:p>
            <w:pPr>
              <w:spacing w:after="0"/>
              <w:rPr>
                <w:sz w:val="1"/>
                <w:szCs w:val="1"/>
                <w:color w:val="auto"/>
              </w:rPr>
            </w:pPr>
          </w:p>
        </w:tc>
      </w:tr>
      <w:tr>
        <w:trPr>
          <w:trHeight w:val="160"/>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Construction &amp; land development</w:t>
            </w: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1,571</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1,571</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commercial loans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12,522</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20,661</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0.54 %</w:t>
            </w:r>
          </w:p>
        </w:tc>
        <w:tc>
          <w:tcPr>
            <w:tcW w:w="0" w:type="dxa"/>
            <w:vAlign w:val="bottom"/>
          </w:tcPr>
          <w:p>
            <w:pPr>
              <w:spacing w:after="0"/>
              <w:rPr>
                <w:sz w:val="1"/>
                <w:szCs w:val="1"/>
                <w:color w:val="auto"/>
              </w:rPr>
            </w:pPr>
          </w:p>
        </w:tc>
      </w:tr>
      <w:tr>
        <w:trPr>
          <w:trHeight w:val="140"/>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first lien</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70"/>
        </w:trPr>
        <w:tc>
          <w:tcPr>
            <w:tcW w:w="24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12,542</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20,681</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color w:val="auto"/>
              </w:rPr>
              <w:t>0.48 %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Payment Deferral</w:t>
            </w:r>
          </w:p>
        </w:tc>
        <w:tc>
          <w:tcPr>
            <w:tcW w:w="160" w:type="dxa"/>
            <w:vAlign w:val="bottom"/>
          </w:tcPr>
          <w:p>
            <w:pPr>
              <w:spacing w:after="0"/>
              <w:rPr>
                <w:sz w:val="10"/>
                <w:szCs w:val="10"/>
                <w:color w:val="auto"/>
              </w:rPr>
            </w:pPr>
          </w:p>
        </w:tc>
        <w:tc>
          <w:tcPr>
            <w:tcW w:w="108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Term Extension</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 Reduction</w:t>
            </w:r>
          </w:p>
        </w:tc>
        <w:tc>
          <w:tcPr>
            <w:tcW w:w="2500" w:type="dxa"/>
            <w:vAlign w:val="bottom"/>
            <w:gridSpan w:val="4"/>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Interest Rate Reduction / Payment Deferral / Term</w:t>
            </w:r>
          </w:p>
        </w:tc>
        <w:tc>
          <w:tcPr>
            <w:tcW w:w="120" w:type="dxa"/>
            <w:vAlign w:val="bottom"/>
          </w:tcPr>
          <w:p>
            <w:pPr>
              <w:spacing w:after="0"/>
              <w:rPr>
                <w:sz w:val="10"/>
                <w:szCs w:val="10"/>
                <w:color w:val="auto"/>
              </w:rPr>
            </w:pPr>
          </w:p>
        </w:tc>
        <w:tc>
          <w:tcPr>
            <w:tcW w:w="116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Total Modifications</w:t>
            </w:r>
          </w:p>
        </w:tc>
        <w:tc>
          <w:tcPr>
            <w:tcW w:w="1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Total Class of Financing</w:t>
            </w:r>
          </w:p>
        </w:tc>
        <w:tc>
          <w:tcPr>
            <w:tcW w:w="0" w:type="dxa"/>
            <w:vAlign w:val="bottom"/>
          </w:tcPr>
          <w:p>
            <w:pPr>
              <w:spacing w:after="0"/>
              <w:rPr>
                <w:sz w:val="1"/>
                <w:szCs w:val="1"/>
                <w:color w:val="auto"/>
              </w:rPr>
            </w:pPr>
          </w:p>
        </w:tc>
      </w:tr>
      <w:tr>
        <w:trPr>
          <w:trHeight w:val="117"/>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3"/>
              <w:spacing w:after="0" w:line="117" w:lineRule="exact"/>
              <w:rPr>
                <w:sz w:val="20"/>
                <w:szCs w:val="20"/>
                <w:color w:val="auto"/>
              </w:rPr>
            </w:pPr>
            <w:r>
              <w:rPr>
                <w:rFonts w:ascii="Times New Roman" w:cs="Times New Roman" w:eastAsia="Times New Roman" w:hAnsi="Times New Roman"/>
                <w:sz w:val="11"/>
                <w:szCs w:val="11"/>
                <w:b w:val="1"/>
                <w:bCs w:val="1"/>
                <w:color w:val="auto"/>
              </w:rPr>
              <w:t>Term Extension</w:t>
            </w:r>
          </w:p>
        </w:tc>
        <w:tc>
          <w:tcPr>
            <w:tcW w:w="160" w:type="dxa"/>
            <w:vAlign w:val="bottom"/>
          </w:tcPr>
          <w:p>
            <w:pPr>
              <w:spacing w:after="0"/>
              <w:rPr>
                <w:sz w:val="10"/>
                <w:szCs w:val="10"/>
                <w:color w:val="auto"/>
              </w:rPr>
            </w:pPr>
          </w:p>
        </w:tc>
        <w:tc>
          <w:tcPr>
            <w:tcW w:w="1100" w:type="dxa"/>
            <w:vAlign w:val="bottom"/>
          </w:tcPr>
          <w:p>
            <w:pPr>
              <w:jc w:val="right"/>
              <w:ind w:right="343"/>
              <w:spacing w:after="0" w:line="117" w:lineRule="exact"/>
              <w:rPr>
                <w:sz w:val="20"/>
                <w:szCs w:val="20"/>
                <w:color w:val="auto"/>
              </w:rPr>
            </w:pPr>
            <w:r>
              <w:rPr>
                <w:rFonts w:ascii="Times New Roman" w:cs="Times New Roman" w:eastAsia="Times New Roman" w:hAnsi="Times New Roman"/>
                <w:sz w:val="11"/>
                <w:szCs w:val="11"/>
                <w:b w:val="1"/>
                <w:bCs w:val="1"/>
                <w:color w:val="auto"/>
              </w:rPr>
              <w:t>Extension</w:t>
            </w: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Receivable</w:t>
            </w:r>
          </w:p>
        </w:tc>
        <w:tc>
          <w:tcPr>
            <w:tcW w:w="0" w:type="dxa"/>
            <w:vAlign w:val="bottom"/>
          </w:tcPr>
          <w:p>
            <w:pPr>
              <w:spacing w:after="0"/>
              <w:rPr>
                <w:sz w:val="1"/>
                <w:szCs w:val="1"/>
                <w:color w:val="auto"/>
              </w:rPr>
            </w:pPr>
          </w:p>
        </w:tc>
      </w:tr>
      <w:tr>
        <w:trPr>
          <w:trHeight w:val="154"/>
        </w:trPr>
        <w:tc>
          <w:tcPr>
            <w:tcW w:w="24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11,949</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 $</w:t>
            </w:r>
          </w:p>
        </w:tc>
        <w:tc>
          <w:tcPr>
            <w:tcW w:w="12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11,949</w:t>
            </w:r>
          </w:p>
        </w:tc>
        <w:tc>
          <w:tcPr>
            <w:tcW w:w="13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1.12 %</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other</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845</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0.73</w:t>
            </w:r>
          </w:p>
        </w:tc>
        <w:tc>
          <w:tcPr>
            <w:tcW w:w="0" w:type="dxa"/>
            <w:vAlign w:val="bottom"/>
          </w:tcPr>
          <w:p>
            <w:pPr>
              <w:spacing w:after="0"/>
              <w:rPr>
                <w:sz w:val="1"/>
                <w:szCs w:val="1"/>
                <w:color w:val="auto"/>
              </w:rPr>
            </w:pPr>
          </w:p>
        </w:tc>
      </w:tr>
      <w:tr>
        <w:trPr>
          <w:trHeight w:val="160"/>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8,069</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0.56</w:t>
            </w:r>
          </w:p>
        </w:tc>
        <w:tc>
          <w:tcPr>
            <w:tcW w:w="0" w:type="dxa"/>
            <w:vAlign w:val="bottom"/>
          </w:tcPr>
          <w:p>
            <w:pPr>
              <w:spacing w:after="0"/>
              <w:rPr>
                <w:sz w:val="1"/>
                <w:szCs w:val="1"/>
                <w:color w:val="auto"/>
              </w:rPr>
            </w:pPr>
          </w:p>
        </w:tc>
      </w:tr>
      <w:tr>
        <w:trPr>
          <w:trHeight w:val="160"/>
        </w:trPr>
        <w:tc>
          <w:tcPr>
            <w:tcW w:w="2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20" w:type="dxa"/>
            <w:vAlign w:val="bottom"/>
          </w:tcPr>
          <w:p>
            <w:pPr>
              <w:spacing w:after="0"/>
              <w:rPr>
                <w:sz w:val="13"/>
                <w:szCs w:val="13"/>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387</w:t>
            </w:r>
          </w:p>
        </w:tc>
        <w:tc>
          <w:tcPr>
            <w:tcW w:w="13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0.58</w:t>
            </w:r>
          </w:p>
        </w:tc>
        <w:tc>
          <w:tcPr>
            <w:tcW w:w="0" w:type="dxa"/>
            <w:vAlign w:val="bottom"/>
          </w:tcPr>
          <w:p>
            <w:pPr>
              <w:spacing w:after="0"/>
              <w:rPr>
                <w:sz w:val="1"/>
                <w:szCs w:val="1"/>
                <w:color w:val="auto"/>
              </w:rPr>
            </w:pPr>
          </w:p>
        </w:tc>
      </w:tr>
      <w:tr>
        <w:trPr>
          <w:trHeight w:val="17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&amp; land development</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1,571</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r>
        <w:trPr>
          <w:trHeight w:val="151"/>
        </w:trPr>
        <w:tc>
          <w:tcPr>
            <w:tcW w:w="2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commercial loans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22,821</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color w:val="auto"/>
              </w:rPr>
              <w:t>0.60 %</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Residential first lien</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162</w:t>
            </w:r>
          </w:p>
        </w:tc>
        <w:tc>
          <w:tcPr>
            <w:tcW w:w="13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0.06</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residential</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0.02</w:t>
            </w:r>
          </w:p>
        </w:tc>
        <w:tc>
          <w:tcPr>
            <w:tcW w:w="0" w:type="dxa"/>
            <w:vAlign w:val="bottom"/>
          </w:tcPr>
          <w:p>
            <w:pPr>
              <w:spacing w:after="0"/>
              <w:rPr>
                <w:sz w:val="1"/>
                <w:szCs w:val="1"/>
                <w:color w:val="auto"/>
              </w:rPr>
            </w:pPr>
          </w:p>
        </w:tc>
      </w:tr>
      <w:tr>
        <w:trPr>
          <w:trHeight w:val="170"/>
        </w:trPr>
        <w:tc>
          <w:tcPr>
            <w:tcW w:w="24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13,742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8,019</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22,993</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color w:val="auto"/>
              </w:rPr>
              <w:t>0.53 %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not committed to lend any additional amounts to the borrowers that have been granted a loan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closely monitors the performance of loans that are modified to borrowers experiencing financial difficulty to understand the effectiveness of our modification efforts. The following table presents the performance of such loans that have been modified in the last twelve months as of September 30,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88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30-59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60-89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1"/>
                <w:szCs w:val="11"/>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80" w:type="dxa"/>
            <w:vAlign w:val="bottom"/>
          </w:tcPr>
          <w:p>
            <w:pPr>
              <w:jc w:val="center"/>
              <w:ind w:left="203"/>
              <w:spacing w:after="0" w:line="115" w:lineRule="exact"/>
              <w:rPr>
                <w:sz w:val="20"/>
                <w:szCs w:val="20"/>
                <w:color w:val="auto"/>
              </w:rPr>
            </w:pPr>
            <w:r>
              <w:rPr>
                <w:rFonts w:ascii="Times New Roman" w:cs="Times New Roman" w:eastAsia="Times New Roman" w:hAnsi="Times New Roman"/>
                <w:sz w:val="11"/>
                <w:szCs w:val="11"/>
                <w:b w:val="1"/>
                <w:bCs w:val="1"/>
                <w:color w:val="auto"/>
              </w:rPr>
              <w:t>days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days</w:t>
            </w:r>
          </w:p>
        </w:tc>
        <w:tc>
          <w:tcPr>
            <w:tcW w:w="220" w:type="dxa"/>
            <w:vAlign w:val="bottom"/>
          </w:tcPr>
          <w:p>
            <w:pPr>
              <w:spacing w:after="0"/>
              <w:rPr>
                <w:sz w:val="9"/>
                <w:szCs w:val="9"/>
                <w:color w:val="auto"/>
              </w:rPr>
            </w:pPr>
          </w:p>
        </w:tc>
        <w:tc>
          <w:tcPr>
            <w:tcW w:w="10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60" w:type="dxa"/>
            <w:vAlign w:val="bottom"/>
          </w:tcPr>
          <w:p>
            <w:pPr>
              <w:spacing w:after="0"/>
              <w:rPr>
                <w:sz w:val="9"/>
                <w:szCs w:val="9"/>
                <w:color w:val="auto"/>
              </w:rPr>
            </w:pPr>
          </w:p>
        </w:tc>
        <w:tc>
          <w:tcPr>
            <w:tcW w:w="88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88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or more</w:t>
            </w:r>
          </w:p>
        </w:tc>
        <w:tc>
          <w:tcPr>
            <w:tcW w:w="22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Commercial</w:t>
            </w:r>
          </w:p>
        </w:tc>
        <w:tc>
          <w:tcPr>
            <w:tcW w:w="88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10,737</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10,737</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880" w:type="dxa"/>
            <w:vAlign w:val="bottom"/>
          </w:tcPr>
          <w:p>
            <w:pPr>
              <w:spacing w:after="0"/>
              <w:rPr>
                <w:sz w:val="13"/>
                <w:szCs w:val="13"/>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19,462</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Multi-family</w:t>
            </w:r>
          </w:p>
        </w:tc>
        <w:tc>
          <w:tcPr>
            <w:tcW w:w="8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14,113</w:t>
            </w:r>
          </w:p>
        </w:tc>
        <w:tc>
          <w:tcPr>
            <w:tcW w:w="0" w:type="dxa"/>
            <w:vAlign w:val="bottom"/>
          </w:tcPr>
          <w:p>
            <w:pPr>
              <w:spacing w:after="0"/>
              <w:rPr>
                <w:sz w:val="1"/>
                <w:szCs w:val="1"/>
                <w:color w:val="auto"/>
              </w:rPr>
            </w:pPr>
          </w:p>
        </w:tc>
      </w:tr>
      <w:tr>
        <w:trPr>
          <w:trHeight w:val="160"/>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Farmland</w:t>
            </w: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8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44,357</w:t>
            </w:r>
          </w:p>
        </w:tc>
        <w:tc>
          <w:tcPr>
            <w:tcW w:w="0" w:type="dxa"/>
            <w:vAlign w:val="bottom"/>
          </w:tcPr>
          <w:p>
            <w:pPr>
              <w:spacing w:after="0"/>
              <w:rPr>
                <w:sz w:val="1"/>
                <w:szCs w:val="1"/>
                <w:color w:val="auto"/>
              </w:rPr>
            </w:pPr>
          </w:p>
        </w:tc>
      </w:tr>
      <w:tr>
        <w:trPr>
          <w:trHeight w:val="160"/>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first lien</w:t>
            </w:r>
          </w:p>
        </w:tc>
        <w:tc>
          <w:tcPr>
            <w:tcW w:w="8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70"/>
        </w:trPr>
        <w:tc>
          <w:tcPr>
            <w:tcW w:w="4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loan restructurings</w:t>
            </w:r>
          </w:p>
        </w:tc>
        <w:tc>
          <w:tcPr>
            <w:tcW w:w="88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44,413</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44,413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performance of such loans that have been modified in the last twelve months as of September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88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30-59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60-89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1"/>
                <w:szCs w:val="11"/>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80" w:type="dxa"/>
            <w:vAlign w:val="bottom"/>
          </w:tcPr>
          <w:p>
            <w:pPr>
              <w:jc w:val="center"/>
              <w:ind w:left="203"/>
              <w:spacing w:after="0" w:line="117" w:lineRule="exact"/>
              <w:rPr>
                <w:sz w:val="20"/>
                <w:szCs w:val="20"/>
                <w:color w:val="auto"/>
              </w:rPr>
            </w:pPr>
            <w:r>
              <w:rPr>
                <w:rFonts w:ascii="Times New Roman" w:cs="Times New Roman" w:eastAsia="Times New Roman" w:hAnsi="Times New Roman"/>
                <w:sz w:val="11"/>
                <w:szCs w:val="11"/>
                <w:b w:val="1"/>
                <w:bCs w:val="1"/>
                <w:color w:val="auto"/>
              </w:rPr>
              <w:t>days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left="223"/>
              <w:spacing w:after="0" w:line="117" w:lineRule="exact"/>
              <w:rPr>
                <w:sz w:val="20"/>
                <w:szCs w:val="20"/>
                <w:color w:val="auto"/>
              </w:rPr>
            </w:pPr>
            <w:r>
              <w:rPr>
                <w:rFonts w:ascii="Times New Roman" w:cs="Times New Roman" w:eastAsia="Times New Roman" w:hAnsi="Times New Roman"/>
                <w:sz w:val="11"/>
                <w:szCs w:val="11"/>
                <w:b w:val="1"/>
                <w:bCs w:val="1"/>
                <w:color w:val="auto"/>
              </w:rPr>
              <w:t>days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60" w:type="dxa"/>
            <w:vAlign w:val="bottom"/>
          </w:tcPr>
          <w:p>
            <w:pPr>
              <w:spacing w:after="0"/>
              <w:rPr>
                <w:sz w:val="10"/>
                <w:szCs w:val="10"/>
                <w:color w:val="auto"/>
              </w:rPr>
            </w:pPr>
          </w:p>
        </w:tc>
        <w:tc>
          <w:tcPr>
            <w:tcW w:w="88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060" w:type="dxa"/>
            <w:vAlign w:val="bottom"/>
            <w:vMerge w:val="continue"/>
          </w:tcPr>
          <w:p>
            <w:pPr>
              <w:spacing w:after="0"/>
              <w:rPr>
                <w:sz w:val="13"/>
                <w:szCs w:val="13"/>
                <w:color w:val="auto"/>
              </w:rPr>
            </w:pPr>
          </w:p>
        </w:tc>
        <w:tc>
          <w:tcPr>
            <w:tcW w:w="88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or more</w:t>
            </w:r>
          </w:p>
        </w:tc>
        <w:tc>
          <w:tcPr>
            <w:tcW w:w="22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Commercial</w:t>
            </w:r>
          </w:p>
        </w:tc>
        <w:tc>
          <w:tcPr>
            <w:tcW w:w="88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11,949</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11,949</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other</w:t>
            </w:r>
          </w:p>
        </w:tc>
        <w:tc>
          <w:tcPr>
            <w:tcW w:w="8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0" w:type="dxa"/>
            <w:vAlign w:val="bottom"/>
          </w:tcPr>
          <w:p>
            <w:pPr>
              <w:spacing w:after="0"/>
              <w:rPr>
                <w:sz w:val="1"/>
                <w:szCs w:val="1"/>
                <w:color w:val="auto"/>
              </w:rPr>
            </w:pPr>
          </w:p>
        </w:tc>
      </w:tr>
      <w:tr>
        <w:trPr>
          <w:trHeight w:val="160"/>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real estate non-owner occupied</w:t>
            </w:r>
          </w:p>
        </w:tc>
        <w:tc>
          <w:tcPr>
            <w:tcW w:w="8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17,920</w:t>
            </w:r>
          </w:p>
        </w:tc>
        <w:tc>
          <w:tcPr>
            <w:tcW w:w="0" w:type="dxa"/>
            <w:vAlign w:val="bottom"/>
          </w:tcPr>
          <w:p>
            <w:pPr>
              <w:spacing w:after="0"/>
              <w:rPr>
                <w:sz w:val="1"/>
                <w:szCs w:val="1"/>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Farmland</w:t>
            </w:r>
          </w:p>
        </w:tc>
        <w:tc>
          <w:tcPr>
            <w:tcW w:w="880" w:type="dxa"/>
            <w:vAlign w:val="bottom"/>
          </w:tcPr>
          <w:p>
            <w:pPr>
              <w:spacing w:after="0"/>
              <w:rPr>
                <w:sz w:val="13"/>
                <w:szCs w:val="13"/>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8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w:t>
            </w:r>
          </w:p>
        </w:tc>
        <w:tc>
          <w:tcPr>
            <w:tcW w:w="0" w:type="dxa"/>
            <w:vAlign w:val="bottom"/>
          </w:tcPr>
          <w:p>
            <w:pPr>
              <w:spacing w:after="0"/>
              <w:rPr>
                <w:sz w:val="1"/>
                <w:szCs w:val="1"/>
                <w:color w:val="auto"/>
              </w:rPr>
            </w:pPr>
          </w:p>
        </w:tc>
      </w:tr>
      <w:tr>
        <w:trPr>
          <w:trHeight w:val="151"/>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loans</w:t>
            </w:r>
          </w:p>
        </w:tc>
        <w:tc>
          <w:tcPr>
            <w:tcW w:w="880" w:type="dxa"/>
            <w:vAlign w:val="bottom"/>
          </w:tcPr>
          <w:p>
            <w:pPr>
              <w:spacing w:after="0"/>
              <w:rPr>
                <w:sz w:val="13"/>
                <w:szCs w:val="13"/>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32,672</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Residential first lien</w:t>
            </w:r>
          </w:p>
        </w:tc>
        <w:tc>
          <w:tcPr>
            <w:tcW w:w="880" w:type="dxa"/>
            <w:vAlign w:val="bottom"/>
          </w:tcPr>
          <w:p>
            <w:pPr>
              <w:spacing w:after="0"/>
              <w:rPr>
                <w:sz w:val="13"/>
                <w:szCs w:val="13"/>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residential</w:t>
            </w:r>
          </w:p>
        </w:tc>
        <w:tc>
          <w:tcPr>
            <w:tcW w:w="8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0"/>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Consumer</w:t>
            </w:r>
          </w:p>
        </w:tc>
        <w:tc>
          <w:tcPr>
            <w:tcW w:w="8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loan restructurings</w:t>
            </w:r>
          </w:p>
        </w:tc>
        <w:tc>
          <w:tcPr>
            <w:tcW w:w="88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33,832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Monitoring</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maintains loan policies and credit underwriting standards as part of the process of managing credit risk. These standards include making loans generally within the Company’s four geographic regions. In addition, the specialty finance division historically provided nationwide bridge lending for FHA and HUD developments, primarily multi-family, assisted and senior living and multi-use properties. The Company ceased originating new construction loans in the fourth quarter of 2024. Our equipment leasing business historically provided financing to business customers across the country.</w:t>
      </w:r>
    </w:p>
    <w:p>
      <w:pPr>
        <w:spacing w:after="0" w:line="140"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has a loan approval process involving underwriting and individual and group loan approval authorities to consider credit quality and loss exposure at loan origination. The loans in the Company’s commercial loan portfolio are risk rated based on the grading system set forth below. All loan authority is based on the aggregate credit to a borrower and its related entities.</w:t>
      </w:r>
    </w:p>
    <w:p>
      <w:pPr>
        <w:spacing w:after="0" w:line="124"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Loans in the commercial loan portfolio tend to be larger and more complex than those in the other loan portfolio, and therefore, are subject to more intensive monitoring. All loans in the commercial loan portfolio have an assigned relationship manager, and most borrowers provide periodic financial and operating information that allows the relationship managers to stay abreast of credit quality during the life of the loans. The risk ratings of loans in the commercial loan portfolio are reassessed at least annually, with loans below an acceptable risk rating reassessed more frequently and reviewed by various individuals within the Company at least quarterly.</w:t>
      </w:r>
    </w:p>
    <w:p>
      <w:pPr>
        <w:spacing w:after="0" w:line="14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Company’s consumer loan portfolio is primarily comprised of both secured and unsecured loans that are relatively small and are evaluated at origination on a centralized basis against standardized underwriting criteria. The ongoing measurement of credit quality of the consumer loan portfolio is largely done on an exception basis. If payments are made on schedule, as agreed, then no further monitoring is performed. However, if delinquency occurs, the delinquent loans are turned over to the Company’s Consumer Collections Group for resolution. Credit quality for the entire consumer loan portfolio is measured by the periodic delinquency rate, nonaccrual amounts and actual losses incurred.</w:t>
      </w:r>
    </w:p>
    <w:p>
      <w:pPr>
        <w:spacing w:after="0" w:line="140"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a centralized independent loan review function that monitors the approval process and ongoing asset quality of the loan portfolio, including the accuracy of loan grades. The Company also maintains an independent appraisal review function that participates in the review of all appraisals obtained by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181"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 uses a ten grade risk rating system to monitor the ongoing credit quality of its commercial loan portfolio. These loan grades rank the credit quality of a borrower by measuring liquidity, debt capacity, and coverage and payment behavior as shown in the borrower’s financial statements. The risk grades also measure the quality of the borrower’s management and the repayment support offered by any guarantors.</w:t>
      </w:r>
    </w:p>
    <w:p>
      <w:pPr>
        <w:spacing w:after="0" w:line="13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The Company considers all loans with Risk Grades 1 - 6 as acceptable credit risks and structures and manages such relationships accordingly. Periodic financial and operating data combined with regular loan officer interactions are deemed adequate to monitor borrower performance. Loans with Risk Grades of 7 are considered "watch credits" categorized as special mention and the frequency of loan officer contact and receipt of financial data is increased to stay abreast of borrower performance. Loans with Risk Grades of 8 - 10 are considered problematic and require special care. Risk Grade 8 is categorized as substandard, 9 as substandard - nonaccrual and 10 as doubtful. Further, loans with Risk Grades of 7 - 10 are managed regularly through a number of processes, procedures and committees, including oversight by a loan administration committee comprised of executive and senior management of the Company, which includes highly structured reporting of financial and operating data, intensive loan officer intervention and strategies to exit, as well as potential management by the Company's Special Assets Group. Loans not graded in the commercial loan portfolio are monitored by aging status and payment activity.</w:t>
      </w:r>
    </w:p>
    <w:p>
      <w:pPr>
        <w:spacing w:after="0" w:line="145"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 xml:space="preserve">As discussed previously in </w:t>
      </w:r>
      <w:r>
        <w:rPr>
          <w:rFonts w:ascii="Times New Roman" w:cs="Times New Roman" w:eastAsia="Times New Roman" w:hAnsi="Times New Roman"/>
          <w:sz w:val="14"/>
          <w:szCs w:val="14"/>
          <w:i w:val="1"/>
          <w:iCs w:val="1"/>
          <w:color w:val="auto"/>
        </w:rPr>
        <w:t>Loan Restructurings,</w:t>
      </w:r>
      <w:r>
        <w:rPr>
          <w:rFonts w:ascii="Times New Roman" w:cs="Times New Roman" w:eastAsia="Times New Roman" w:hAnsi="Times New Roman"/>
          <w:sz w:val="14"/>
          <w:szCs w:val="14"/>
          <w:color w:val="auto"/>
        </w:rPr>
        <w:t xml:space="preserve"> the Company does provide various types of concessions when a borrower is experiencing financial difficulties that result in a direct change in the timing or amount of contractual cash flows. Modified loans with terms at least as favorable to the lender as the terms for other customers with similar collection risks and with terms that are more than minor compared to the original terms are treated as a new loan to the borrower.</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recorded investment of the commercial loan portfolio by risk category as of September 30, 2026 and December 31,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03"/>
        </w:trPr>
        <w:tc>
          <w:tcPr>
            <w:tcW w:w="1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Term Loans</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39"/>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8"/>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Amortized Cost Basis by Origination Year</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5"/>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Commercial</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Commercial</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Acceptable credit quality $</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157,109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368,109</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69,030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24,297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382,650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1,051,222</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589</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4,463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5,238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10,241</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993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11,599</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161,620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368,109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69,254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30,528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386,017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1,073,651</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Commercial other</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1,208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97,854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108,703</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700</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201</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558</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1,208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98,565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110,162</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Commercial real estate</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Non-owner occupied</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250,683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292,804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223,874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101,589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236,984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1,382,310</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2,965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5,213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31,545</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11,890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7,967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15,541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35,742</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14,680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27,477</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262,573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296,177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243,785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101,589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293,212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269,441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1,477,074</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Owner occupied</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100,943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74,958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40,045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21,445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390,807</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604</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2,311</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299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3,650</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101,635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75,867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40,467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21,744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79,550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75,423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397,372</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Multi-family</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60,429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96,241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20,965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9,660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138,868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343,686</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7,455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17,655</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5,113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16,779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21,920</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5,067</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65,542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97,441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20,965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17,115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169,126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388,328</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Farmland</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16,587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19,288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1,711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68,106</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331</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75</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1,192</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16,826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19,288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1,711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69,704</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Construction and land development</w:t>
            </w: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42,742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81,879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27,624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12,195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19,758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240,437</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66</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3,376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4,570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392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219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8,763</w:t>
            </w:r>
          </w:p>
        </w:tc>
      </w:tr>
      <w:tr>
        <w:trPr>
          <w:trHeight w:val="139"/>
        </w:trPr>
        <w:tc>
          <w:tcPr>
            <w:tcW w:w="14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Subtotal</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46,118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86,449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28,016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19,758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249,268</w:t>
            </w:r>
          </w:p>
        </w:tc>
      </w:tr>
      <w:tr>
        <w:trPr>
          <w:trHeight w:val="71"/>
        </w:trPr>
        <w:tc>
          <w:tcPr>
            <w:tcW w:w="14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632,250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935,384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384,457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176,125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414,523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515,499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3,585,271</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287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5,213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51,426</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22,158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413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5,417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24,746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16,974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70,556</w:t>
            </w:r>
          </w:p>
        </w:tc>
      </w:tr>
      <w:tr>
        <w:trPr>
          <w:trHeight w:val="142"/>
        </w:trPr>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14,931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1,578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49,543</w:t>
            </w:r>
          </w:p>
        </w:tc>
      </w:tr>
      <w:tr>
        <w:trPr>
          <w:trHeight w:val="155"/>
        </w:trPr>
        <w:tc>
          <w:tcPr>
            <w:tcW w:w="14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4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3,376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4,570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392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219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8,763</w:t>
            </w:r>
          </w:p>
        </w:tc>
      </w:tr>
      <w:tr>
        <w:trPr>
          <w:trHeight w:val="165"/>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commercial loans</w:t>
            </w:r>
          </w:p>
        </w:tc>
        <w:tc>
          <w:tcPr>
            <w:tcW w:w="1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658,071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945,436</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405,406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190,841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590,265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455,611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519,929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3,765,559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03"/>
        </w:trPr>
        <w:tc>
          <w:tcPr>
            <w:tcW w:w="1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Term Loans</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9"/>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b w:val="1"/>
                <w:bCs w:val="1"/>
                <w:color w:val="auto"/>
                <w:w w:val="98"/>
              </w:rPr>
              <w:t>Amortized Cost Basis by Origination Year</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Prior</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Revolving loans</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5"/>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Commercial</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Commercial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Acceptable credit quality</w:t>
            </w: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430,303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90,583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68,878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369,376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1,035,476</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5,229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7,339</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2,556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4,568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12,657</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7,219</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430,987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92,095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77,659</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17,924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29,675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39,698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374,653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1,062,691</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Commercial other</w:t>
            </w: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1,735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94,573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110,407</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992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1,081</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3,197</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5,167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2,325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98,224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115,830</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Commercial real estate</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Non-owner occupied</w:t>
            </w: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317,256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253,999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121,375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327,996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187,171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132,080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12,556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1,352,433</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29,735</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50,642</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317,702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278,895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124,488</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341,089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199,679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173,485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12,556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1,447,894</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Owner occupied</w:t>
            </w: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92,863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39,146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59,816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428,845</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1,471</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1,988</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12,139</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94,059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84,091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39,146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96,141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67,261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62,606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1,139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444,443</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Multi-family</w:t>
            </w: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102,138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337,163</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7,562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24,607</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5,159</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16,448</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102,138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30,280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17,795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183,975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43,580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1,101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383,377</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Farmland</w:t>
            </w: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19,081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6,858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61,907</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1,210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2,460</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1,662</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20,285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8,068</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7,524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24,929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823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66,950</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Construction and land development</w:t>
            </w: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122,570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14,402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269,732</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9,942</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1,665</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Not graded</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3,292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4,646</w:t>
            </w:r>
          </w:p>
        </w:tc>
      </w:tr>
      <w:tr>
        <w:trPr>
          <w:trHeight w:val="139"/>
        </w:trPr>
        <w:tc>
          <w:tcPr>
            <w:tcW w:w="1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126,804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80,784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11,306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36,026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16,440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14,402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286,140</w:t>
            </w:r>
          </w:p>
        </w:tc>
      </w:tr>
      <w:tr>
        <w:trPr>
          <w:trHeight w:val="71"/>
        </w:trPr>
        <w:tc>
          <w:tcPr>
            <w:tcW w:w="1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4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1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Acceptable credit quality</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1,089,177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539,475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259,225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615,066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341,230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493,618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3,595,963</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Special mention</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15,968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75,160</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Substandard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10,034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3,792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10,470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5,560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75,652</w:t>
            </w:r>
          </w:p>
        </w:tc>
      </w:tr>
      <w:tr>
        <w:trPr>
          <w:trHeight w:val="142"/>
        </w:trPr>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20" w:type="dxa"/>
            <w:vAlign w:val="bottom"/>
            <w:gridSpan w:val="2"/>
          </w:tcPr>
          <w:p>
            <w:pPr>
              <w:jc w:val="right"/>
              <w:ind w:right="151"/>
              <w:spacing w:after="0"/>
              <w:rPr>
                <w:sz w:val="20"/>
                <w:szCs w:val="20"/>
                <w:color w:val="auto"/>
              </w:rPr>
            </w:pPr>
            <w:r>
              <w:rPr>
                <w:rFonts w:ascii="Times New Roman" w:cs="Times New Roman" w:eastAsia="Times New Roman" w:hAnsi="Times New Roman"/>
                <w:sz w:val="10"/>
                <w:szCs w:val="10"/>
                <w:color w:val="auto"/>
              </w:rPr>
              <w:t>Substandard – nonaccrual</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1,155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55,904</w:t>
            </w:r>
          </w:p>
        </w:tc>
      </w:tr>
      <w:tr>
        <w:trPr>
          <w:trHeight w:val="155"/>
        </w:trPr>
        <w:tc>
          <w:tcPr>
            <w:tcW w:w="1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Doubtful</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15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Not graded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3,292</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306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4,646</w:t>
            </w:r>
          </w:p>
        </w:tc>
      </w:tr>
      <w:tr>
        <w:trPr>
          <w:trHeight w:val="15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commercial loans</w:t>
            </w:r>
          </w:p>
        </w:tc>
        <w:tc>
          <w:tcPr>
            <w:tcW w:w="14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1,097,142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569,783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280,787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685,254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365,163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306,298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502,898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3,807,325</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gross charge-offs by class of loan and year of origination on the commercial loan portfolio for the three and nine months ended September 30, 2026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2026</w:t>
            </w:r>
          </w:p>
        </w:tc>
        <w:tc>
          <w:tcPr>
            <w:tcW w:w="1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Commercial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Commercial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2,049</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Non-owner occupied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Owner occupied</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0"/>
        </w:trPr>
        <w:tc>
          <w:tcPr>
            <w:tcW w:w="264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Multi-family</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w:t>
            </w:r>
          </w:p>
        </w:tc>
      </w:tr>
      <w:tr>
        <w:trPr>
          <w:trHeight w:val="170"/>
        </w:trPr>
        <w:tc>
          <w:tcPr>
            <w:tcW w:w="26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Farmland</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gross commercial charge-offs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2,192</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5,414</w:t>
            </w: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2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Commercial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Commercial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7,437</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Non-owner occupied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4,055</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Owner occupied</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0"/>
        </w:trPr>
        <w:tc>
          <w:tcPr>
            <w:tcW w:w="264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Multi-family</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11,864</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Farmland</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6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9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gross commercial charge-offs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12,528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23,742</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2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2025</w:t>
            </w:r>
          </w:p>
        </w:tc>
        <w:tc>
          <w:tcPr>
            <w:tcW w:w="1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Commercial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Commercial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4,301</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Non-owner occupied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1,993</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Owner occupied</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1,305</w:t>
            </w:r>
          </w:p>
        </w:tc>
      </w:tr>
      <w:tr>
        <w:trPr>
          <w:trHeight w:val="160"/>
        </w:trPr>
        <w:tc>
          <w:tcPr>
            <w:tcW w:w="264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Multi-family</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gross commercial charge-offs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3,050</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2,962</w:t>
            </w:r>
          </w:p>
        </w:tc>
        <w:tc>
          <w:tcPr>
            <w:tcW w:w="10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1,657</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11,000</w:t>
            </w: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2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Commercial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Commercial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23,610</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Non-owner occupied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15,518</w:t>
            </w:r>
          </w:p>
        </w:tc>
      </w:tr>
      <w:tr>
        <w:trPr>
          <w:trHeight w:val="179"/>
        </w:trPr>
        <w:tc>
          <w:tcPr>
            <w:tcW w:w="26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Owner occupied</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7,152</w:t>
            </w:r>
          </w:p>
        </w:tc>
      </w:tr>
      <w:tr>
        <w:trPr>
          <w:trHeight w:val="160"/>
        </w:trPr>
        <w:tc>
          <w:tcPr>
            <w:tcW w:w="264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Multi-family</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4,304</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gross commercial charge-offs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1,915</w:t>
            </w:r>
          </w:p>
        </w:tc>
        <w:tc>
          <w:tcPr>
            <w:tcW w:w="1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20,963</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3,368</w:t>
            </w:r>
          </w:p>
        </w:tc>
        <w:tc>
          <w:tcPr>
            <w:tcW w:w="10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17,422</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53,637</w:t>
            </w:r>
          </w:p>
        </w:tc>
      </w:tr>
      <w:tr>
        <w:trPr>
          <w:trHeight w:val="20"/>
        </w:trPr>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evaluates the credit quality of its other loan portfolios, which includes residential real estate, consumer and leases, based primarily on the aging status of the loan and payment activity. Accordingly, loans on nonaccrual status and loans past due 90 days or more and still accruing interest are considered to be nonperforming for purposes of credit quality evaluation. The following tables present the recorded investment of our other loan portfolio based on the credit risk profile of loans that are performing and loans that are nonperforming as of September 30,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September 30, 2026</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03"/>
        </w:trPr>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3"/>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Term Loans</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39"/>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Amortized Cost Basis by Origination Year</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2"/>
        </w:trPr>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Prior</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95"/>
              </w:rPr>
              <w:t>Revolving Loans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Residential real estate</w:t>
            </w:r>
          </w:p>
        </w:tc>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Residential first lien</w:t>
            </w: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6,425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35,861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56,441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136,040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284,136</w:t>
            </w:r>
          </w:p>
        </w:tc>
      </w:tr>
      <w:tr>
        <w:trPr>
          <w:trHeight w:val="142"/>
        </w:trPr>
        <w:tc>
          <w:tcPr>
            <w:tcW w:w="13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348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1,106</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2,550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4,045</w:t>
            </w:r>
          </w:p>
        </w:tc>
      </w:tr>
      <w:tr>
        <w:trPr>
          <w:trHeight w:val="139"/>
        </w:trPr>
        <w:tc>
          <w:tcPr>
            <w:tcW w:w="1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95"/>
              </w:rPr>
              <w:t>Subtotal</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6,425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36,209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57,547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138,590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288,181</w:t>
            </w:r>
          </w:p>
        </w:tc>
      </w:tr>
      <w:tr>
        <w:trPr>
          <w:trHeight w:val="188"/>
        </w:trPr>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49"/>
        </w:trPr>
        <w:tc>
          <w:tcPr>
            <w:tcW w:w="1360" w:type="dxa"/>
            <w:vAlign w:val="bottom"/>
            <w:shd w:val="clear" w:color="auto" w:fill="CCEEFF"/>
          </w:tcPr>
          <w:p>
            <w:pPr>
              <w:spacing w:after="0"/>
              <w:rPr>
                <w:sz w:val="12"/>
                <w:szCs w:val="12"/>
                <w:color w:val="auto"/>
              </w:rPr>
            </w:pPr>
          </w:p>
        </w:tc>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Other residential</w:t>
            </w: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1,237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69,292</w:t>
            </w:r>
          </w:p>
        </w:tc>
      </w:tr>
      <w:tr>
        <w:trPr>
          <w:trHeight w:val="142"/>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548</w:t>
            </w:r>
          </w:p>
        </w:tc>
      </w:tr>
      <w:tr>
        <w:trPr>
          <w:trHeight w:val="139"/>
        </w:trPr>
        <w:tc>
          <w:tcPr>
            <w:tcW w:w="13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95"/>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3,461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1,877</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1,237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60,466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69,840</w:t>
            </w:r>
          </w:p>
        </w:tc>
      </w:tr>
      <w:tr>
        <w:trPr>
          <w:trHeight w:val="188"/>
        </w:trPr>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Consumer</w:t>
            </w:r>
          </w:p>
        </w:tc>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Consumer</w:t>
            </w: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26,886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10,605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16,373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84,465</w:t>
            </w:r>
          </w:p>
        </w:tc>
      </w:tr>
      <w:tr>
        <w:trPr>
          <w:trHeight w:val="142"/>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39"/>
        </w:trPr>
        <w:tc>
          <w:tcPr>
            <w:tcW w:w="13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95"/>
              </w:rPr>
              <w:t>Subtotal</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8,869</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26,886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10,607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8,669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16,389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1,027</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84,510</w:t>
            </w:r>
          </w:p>
        </w:tc>
      </w:tr>
      <w:tr>
        <w:trPr>
          <w:trHeight w:val="188"/>
        </w:trPr>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9"/>
        </w:trPr>
        <w:tc>
          <w:tcPr>
            <w:tcW w:w="1360" w:type="dxa"/>
            <w:vAlign w:val="bottom"/>
            <w:shd w:val="clear" w:color="auto" w:fill="CCEEFF"/>
          </w:tcPr>
          <w:p>
            <w:pPr>
              <w:spacing w:after="0"/>
              <w:rPr>
                <w:sz w:val="12"/>
                <w:szCs w:val="12"/>
                <w:color w:val="auto"/>
              </w:rPr>
            </w:pPr>
          </w:p>
        </w:tc>
        <w:tc>
          <w:tcPr>
            <w:tcW w:w="1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Consumer other</w:t>
            </w: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9,157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44,399</w:t>
            </w:r>
          </w:p>
        </w:tc>
      </w:tr>
      <w:tr>
        <w:trPr>
          <w:trHeight w:val="142"/>
        </w:trPr>
        <w:tc>
          <w:tcPr>
            <w:tcW w:w="13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95"/>
              </w:rPr>
              <w:t>Subtotal</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9,157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44,399</w:t>
            </w:r>
          </w:p>
        </w:tc>
      </w:tr>
      <w:tr>
        <w:trPr>
          <w:trHeight w:val="188"/>
        </w:trPr>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4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Leases financing</w:t>
            </w:r>
          </w:p>
        </w:tc>
        <w:tc>
          <w:tcPr>
            <w:tcW w:w="1520" w:type="dxa"/>
            <w:vAlign w:val="bottom"/>
            <w:shd w:val="clear" w:color="auto" w:fill="CCEEFF"/>
          </w:tcPr>
          <w:p>
            <w:pPr>
              <w:spacing w:after="0"/>
              <w:rPr>
                <w:sz w:val="12"/>
                <w:szCs w:val="12"/>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7,138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28,872</w:t>
            </w:r>
          </w:p>
        </w:tc>
      </w:tr>
      <w:tr>
        <w:trPr>
          <w:trHeight w:val="142"/>
        </w:trPr>
        <w:tc>
          <w:tcPr>
            <w:tcW w:w="13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911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1,467</w:t>
            </w:r>
          </w:p>
        </w:tc>
      </w:tr>
      <w:tr>
        <w:trPr>
          <w:trHeight w:val="139"/>
        </w:trPr>
        <w:tc>
          <w:tcPr>
            <w:tcW w:w="1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95"/>
              </w:rPr>
              <w:t>Subtotal</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8,049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30,339</w:t>
            </w:r>
          </w:p>
        </w:tc>
      </w:tr>
      <w:tr>
        <w:trPr>
          <w:trHeight w:val="188"/>
        </w:trPr>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4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1520" w:type="dxa"/>
            <w:vAlign w:val="bottom"/>
            <w:shd w:val="clear" w:color="auto" w:fill="CCEEFF"/>
          </w:tcPr>
          <w:p>
            <w:pPr>
              <w:spacing w:after="0"/>
              <w:rPr>
                <w:sz w:val="12"/>
                <w:szCs w:val="12"/>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40,459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46,308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55,115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102,835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165,212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68,338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511,164</w:t>
            </w:r>
          </w:p>
        </w:tc>
      </w:tr>
      <w:tr>
        <w:trPr>
          <w:trHeight w:val="142"/>
        </w:trPr>
        <w:tc>
          <w:tcPr>
            <w:tcW w:w="13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1,261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2,752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6,105</w:t>
            </w:r>
          </w:p>
        </w:tc>
      </w:tr>
      <w:tr>
        <w:trPr>
          <w:trHeight w:val="16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other loans</w:t>
            </w:r>
          </w:p>
        </w:tc>
        <w:tc>
          <w:tcPr>
            <w:tcW w:w="15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40,459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46,330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56,376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104,403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167,964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517,269</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03"/>
        </w:trPr>
        <w:tc>
          <w:tcPr>
            <w:tcW w:w="1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3"/>
          </w:tcPr>
          <w:p>
            <w:pPr>
              <w:jc w:val="right"/>
              <w:ind w:right="11"/>
              <w:spacing w:after="0" w:line="103" w:lineRule="exact"/>
              <w:rPr>
                <w:sz w:val="20"/>
                <w:szCs w:val="20"/>
                <w:color w:val="auto"/>
              </w:rPr>
            </w:pPr>
            <w:r>
              <w:rPr>
                <w:rFonts w:ascii="Times New Roman" w:cs="Times New Roman" w:eastAsia="Times New Roman" w:hAnsi="Times New Roman"/>
                <w:sz w:val="10"/>
                <w:szCs w:val="10"/>
                <w:b w:val="1"/>
                <w:bCs w:val="1"/>
                <w:color w:val="auto"/>
              </w:rPr>
              <w:t>Term Loans</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39"/>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Amortized Cost Basis by Origination Year</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2"/>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4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Residential real estate</w:t>
            </w:r>
          </w:p>
        </w:tc>
        <w:tc>
          <w:tcPr>
            <w:tcW w:w="1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Residential first lien</w:t>
            </w: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28,464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37,936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60,875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117,847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282,742</w:t>
            </w:r>
          </w:p>
        </w:tc>
      </w:tr>
      <w:tr>
        <w:trPr>
          <w:trHeight w:val="142"/>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2,401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3,436</w:t>
            </w:r>
          </w:p>
        </w:tc>
      </w:tr>
      <w:tr>
        <w:trPr>
          <w:trHeight w:val="139"/>
        </w:trPr>
        <w:tc>
          <w:tcPr>
            <w:tcW w:w="12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0"/>
                <w:szCs w:val="10"/>
                <w:color w:val="auto"/>
                <w:w w:val="95"/>
              </w:rPr>
              <w:t>Subtotal</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28,464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38,411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61,114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29,627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120,248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286,178</w:t>
            </w:r>
          </w:p>
        </w:tc>
      </w:tr>
      <w:tr>
        <w:trPr>
          <w:trHeight w:val="188"/>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9"/>
        </w:trPr>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Other residential</w:t>
            </w: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63,020</w:t>
            </w:r>
          </w:p>
        </w:tc>
      </w:tr>
      <w:tr>
        <w:trPr>
          <w:trHeight w:val="142"/>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w:t>
            </w:r>
          </w:p>
        </w:tc>
      </w:tr>
      <w:tr>
        <w:trPr>
          <w:trHeight w:val="139"/>
        </w:trPr>
        <w:tc>
          <w:tcPr>
            <w:tcW w:w="12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0"/>
                <w:szCs w:val="10"/>
                <w:color w:val="auto"/>
                <w:w w:val="95"/>
              </w:rPr>
              <w:t>Subtotal</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1,534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54,118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63,445</w:t>
            </w:r>
          </w:p>
        </w:tc>
      </w:tr>
      <w:tr>
        <w:trPr>
          <w:trHeight w:val="188"/>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Consumer</w:t>
            </w:r>
          </w:p>
        </w:tc>
        <w:tc>
          <w:tcPr>
            <w:tcW w:w="1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Consumer</w:t>
            </w: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99,645</w:t>
            </w:r>
          </w:p>
        </w:tc>
      </w:tr>
      <w:tr>
        <w:trPr>
          <w:trHeight w:val="142"/>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w:t>
            </w:r>
          </w:p>
        </w:tc>
      </w:tr>
      <w:tr>
        <w:trPr>
          <w:trHeight w:val="139"/>
        </w:trPr>
        <w:tc>
          <w:tcPr>
            <w:tcW w:w="12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0"/>
                <w:szCs w:val="10"/>
                <w:color w:val="auto"/>
                <w:w w:val="95"/>
              </w:rPr>
              <w:t>Subtotal</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33,113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16,120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14,233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11,580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18,018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5,587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99,692</w:t>
            </w:r>
          </w:p>
        </w:tc>
      </w:tr>
      <w:tr>
        <w:trPr>
          <w:trHeight w:val="188"/>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49"/>
        </w:trPr>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Consumer other</w:t>
            </w: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7,213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44,383</w:t>
            </w:r>
          </w:p>
        </w:tc>
      </w:tr>
      <w:tr>
        <w:trPr>
          <w:trHeight w:val="142"/>
        </w:trPr>
        <w:tc>
          <w:tcPr>
            <w:tcW w:w="12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0"/>
                <w:szCs w:val="10"/>
                <w:color w:val="auto"/>
                <w:w w:val="95"/>
              </w:rPr>
              <w:t>Subtotal</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7,213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44,383</w:t>
            </w:r>
          </w:p>
        </w:tc>
      </w:tr>
      <w:tr>
        <w:trPr>
          <w:trHeight w:val="188"/>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4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Leases financing</w:t>
            </w:r>
          </w:p>
        </w:tc>
        <w:tc>
          <w:tcPr>
            <w:tcW w:w="1400" w:type="dxa"/>
            <w:vAlign w:val="bottom"/>
            <w:shd w:val="clear" w:color="auto" w:fill="CCEEFF"/>
          </w:tcPr>
          <w:p>
            <w:pPr>
              <w:spacing w:after="0"/>
              <w:rPr>
                <w:sz w:val="12"/>
                <w:szCs w:val="12"/>
                <w:color w:val="auto"/>
              </w:rPr>
            </w:pP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49,819</w:t>
            </w:r>
          </w:p>
        </w:tc>
      </w:tr>
      <w:tr>
        <w:trPr>
          <w:trHeight w:val="142"/>
        </w:trPr>
        <w:tc>
          <w:tcPr>
            <w:tcW w:w="12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1,162</w:t>
            </w:r>
          </w:p>
        </w:tc>
      </w:tr>
      <w:tr>
        <w:trPr>
          <w:trHeight w:val="139"/>
        </w:trPr>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0"/>
                <w:szCs w:val="10"/>
                <w:color w:val="auto"/>
                <w:w w:val="95"/>
              </w:rPr>
              <w:t>Subtotal</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12,897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50,981</w:t>
            </w:r>
          </w:p>
        </w:tc>
      </w:tr>
      <w:tr>
        <w:trPr>
          <w:trHeight w:val="188"/>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14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1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Performing</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67,070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133,625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54,861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539,609</w:t>
            </w:r>
          </w:p>
        </w:tc>
      </w:tr>
      <w:tr>
        <w:trPr>
          <w:trHeight w:val="149"/>
        </w:trPr>
        <w:tc>
          <w:tcPr>
            <w:tcW w:w="1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Nonperforming</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2,522</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5,070</w:t>
            </w:r>
          </w:p>
        </w:tc>
      </w:tr>
      <w:tr>
        <w:trPr>
          <w:trHeight w:val="145"/>
        </w:trPr>
        <w:tc>
          <w:tcPr>
            <w:tcW w:w="1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other loans</w:t>
            </w: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50,160</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54,951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67,628</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122,032</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58,567</w:t>
            </w:r>
          </w:p>
        </w:tc>
        <w:tc>
          <w:tcPr>
            <w:tcW w:w="10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136,147</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55,194</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544,679</w:t>
            </w:r>
          </w:p>
        </w:tc>
      </w:tr>
      <w:tr>
        <w:trPr>
          <w:trHeight w:val="20"/>
        </w:trPr>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gross charge-offs by class of loan and year of origination on the other loan portfolio for the three and nine months ended 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8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180" w:type="dxa"/>
            <w:vAlign w:val="bottom"/>
          </w:tcPr>
          <w:p>
            <w:pPr>
              <w:spacing w:after="0"/>
              <w:rPr>
                <w:sz w:val="13"/>
                <w:szCs w:val="13"/>
                <w:color w:val="auto"/>
              </w:rPr>
            </w:pP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2026</w:t>
            </w:r>
          </w:p>
        </w:tc>
        <w:tc>
          <w:tcPr>
            <w:tcW w:w="1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Residential first lien $</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Other residential</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Consumer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Consumer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983</w:t>
            </w:r>
          </w:p>
        </w:tc>
      </w:tr>
      <w:tr>
        <w:trPr>
          <w:trHeight w:val="16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1,072</w:t>
            </w:r>
          </w:p>
        </w:tc>
      </w:tr>
      <w:tr>
        <w:trPr>
          <w:trHeight w:val="19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gross other charge-offs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Residential first lien $</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Other residential</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Consumer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Consumer other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2,352</w:t>
            </w:r>
          </w:p>
        </w:tc>
      </w:tr>
      <w:tr>
        <w:trPr>
          <w:trHeight w:val="16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2,143</w:t>
            </w:r>
          </w:p>
        </w:tc>
      </w:tr>
      <w:tr>
        <w:trPr>
          <w:trHeight w:val="19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gross other charge-offs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4,687</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Term Loans by Origination Year</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8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180" w:type="dxa"/>
            <w:vAlign w:val="bottom"/>
          </w:tcPr>
          <w:p>
            <w:pPr>
              <w:spacing w:after="0"/>
              <w:rPr>
                <w:sz w:val="13"/>
                <w:szCs w:val="13"/>
                <w:color w:val="auto"/>
              </w:rPr>
            </w:pP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2025</w:t>
            </w:r>
          </w:p>
        </w:tc>
        <w:tc>
          <w:tcPr>
            <w:tcW w:w="1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Residential first lien $</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Other residential</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Consumer</w:t>
            </w: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Consumer other</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852</w:t>
            </w:r>
          </w:p>
        </w:tc>
      </w:tr>
      <w:tr>
        <w:trPr>
          <w:trHeight w:val="16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4,088</w:t>
            </w:r>
          </w:p>
        </w:tc>
      </w:tr>
      <w:tr>
        <w:trPr>
          <w:trHeight w:val="19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gross other charge-offs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5,039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Residential first lien $</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Other residential</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r>
      <w:tr>
        <w:trPr>
          <w:trHeight w:val="160"/>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Consumer</w:t>
            </w:r>
          </w:p>
        </w:tc>
        <w:tc>
          <w:tcPr>
            <w:tcW w:w="62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r>
      <w:tr>
        <w:trPr>
          <w:trHeight w:val="179"/>
        </w:trPr>
        <w:tc>
          <w:tcPr>
            <w:tcW w:w="26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Consumer other</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2,131</w:t>
            </w:r>
          </w:p>
        </w:tc>
      </w:tr>
      <w:tr>
        <w:trPr>
          <w:trHeight w:val="16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11,422</w:t>
            </w:r>
          </w:p>
        </w:tc>
      </w:tr>
      <w:tr>
        <w:trPr>
          <w:trHeight w:val="19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gross other charge-offs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13,782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PREMISES, EQUIPMENT AND LEASES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premises, equipment and leases at September 30, 2026 and December 31, 2025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2"/>
                <w:szCs w:val="12"/>
                <w:color w:val="auto"/>
              </w:rPr>
            </w:pPr>
          </w:p>
        </w:tc>
        <w:tc>
          <w:tcPr>
            <w:tcW w:w="12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7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Land</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15,856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15,856</w:t>
            </w:r>
          </w:p>
        </w:tc>
      </w:tr>
      <w:tr>
        <w:trPr>
          <w:trHeight w:val="160"/>
        </w:trPr>
        <w:tc>
          <w:tcPr>
            <w:tcW w:w="8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Buildings and improvements</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86,858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86,429</w:t>
            </w:r>
          </w:p>
        </w:tc>
      </w:tr>
      <w:tr>
        <w:trPr>
          <w:trHeight w:val="17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Furniture and equipment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38,303</w:t>
            </w:r>
          </w:p>
        </w:tc>
      </w:tr>
      <w:tr>
        <w:trPr>
          <w:trHeight w:val="16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Lease right-of-use assets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7,710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8,117</w:t>
            </w:r>
          </w:p>
        </w:tc>
      </w:tr>
      <w:tr>
        <w:trPr>
          <w:trHeight w:val="170"/>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148,903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148,705</w:t>
            </w:r>
          </w:p>
        </w:tc>
      </w:tr>
      <w:tr>
        <w:trPr>
          <w:trHeight w:val="16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Accumulated depreciation</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(66,468)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(63,571)</w:t>
            </w:r>
          </w:p>
        </w:tc>
      </w:tr>
      <w:tr>
        <w:trPr>
          <w:trHeight w:val="195"/>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82,435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85,134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Depreciation expense for the three and nine months ended September 30, 2026 was $1.2 million and $3.6 million, respectively, and $1.2 million and $3.7 million for the three and nine months ended September 30, 2025, respectively.</w:t>
      </w:r>
    </w:p>
    <w:p>
      <w:pPr>
        <w:spacing w:after="0" w:line="12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The Company has entered into operating leases, primarily for banking offices, operating facilities and ATMs, which have remaining lease terms of 1 month to 11 years, some of which may include options to extend the lease terms for up to an additional 10 years. The options to extend are included in the remaining lease term if they are reasonably certain to be exercised. The Company had operating lease right-of-use assets of $7.7 million and $8.1 million as of September 30, 2026 and December 31, 2025, respectively, and are included in premises and equipment, net on our consolidated balance sheets. The operating lease liabilities of the Company were $8.2 million and $9.3 million as of September 30, 2026 and December 31, 2025, respectively, and are included in accrued interest payable and other liabilities on our consolidated balance sheets.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related to operating leases for the three and nine months ended September 30, 2026 and 2025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cost</w:t>
            </w:r>
          </w:p>
        </w:tc>
        <w:tc>
          <w:tcPr>
            <w:tcW w:w="9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1,461</w:t>
            </w: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cash flows from leases</w:t>
            </w:r>
          </w:p>
        </w:tc>
        <w:tc>
          <w:tcPr>
            <w:tcW w:w="920" w:type="dxa"/>
            <w:vAlign w:val="bottom"/>
          </w:tcPr>
          <w:p>
            <w:pPr>
              <w:spacing w:after="0"/>
              <w:rPr>
                <w:sz w:val="13"/>
                <w:szCs w:val="13"/>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1,545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1,467</w:t>
            </w: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 obtained in exchange for lease obligations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873</w:t>
            </w: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 derecognized due to termination</w:t>
            </w:r>
          </w:p>
        </w:tc>
        <w:tc>
          <w:tcPr>
            <w:tcW w:w="920" w:type="dxa"/>
            <w:vAlign w:val="bottom"/>
          </w:tcPr>
          <w:p>
            <w:pPr>
              <w:spacing w:after="0"/>
              <w:rPr>
                <w:sz w:val="13"/>
                <w:szCs w:val="13"/>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remaining lease term</w:t>
            </w:r>
          </w:p>
        </w:tc>
        <w:tc>
          <w:tcPr>
            <w:tcW w:w="9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5.8 years</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6.3 years</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5.8 years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years</w:t>
            </w:r>
          </w:p>
        </w:tc>
      </w:tr>
      <w:tr>
        <w:trPr>
          <w:trHeight w:val="151"/>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3.72 %</w:t>
            </w:r>
          </w:p>
        </w:tc>
      </w:tr>
    </w:tbl>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projected minimum rental payments under the terms of the leases as of September 30, 2026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5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ending December 31:</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0"/>
        </w:trPr>
        <w:tc>
          <w:tcPr>
            <w:tcW w:w="9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2026 remaining</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r>
      <w:tr>
        <w:trPr>
          <w:trHeight w:val="179"/>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2027</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w:t>
            </w:r>
          </w:p>
        </w:tc>
      </w:tr>
      <w:tr>
        <w:trPr>
          <w:trHeight w:val="160"/>
        </w:trPr>
        <w:tc>
          <w:tcPr>
            <w:tcW w:w="9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2028</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w:t>
            </w:r>
          </w:p>
        </w:tc>
      </w:tr>
      <w:tr>
        <w:trPr>
          <w:trHeight w:val="179"/>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2029</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1,608</w:t>
            </w:r>
          </w:p>
        </w:tc>
      </w:tr>
      <w:tr>
        <w:trPr>
          <w:trHeight w:val="160"/>
        </w:trPr>
        <w:tc>
          <w:tcPr>
            <w:tcW w:w="9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2030</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r>
      <w:tr>
        <w:trPr>
          <w:trHeight w:val="179"/>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Thereafter</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w:t>
            </w:r>
          </w:p>
        </w:tc>
      </w:tr>
      <w:tr>
        <w:trPr>
          <w:trHeight w:val="151"/>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future minimum lease payments</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9,279</w:t>
            </w:r>
          </w:p>
        </w:tc>
      </w:tr>
      <w:tr>
        <w:trPr>
          <w:trHeight w:val="170"/>
        </w:trPr>
        <w:tc>
          <w:tcPr>
            <w:tcW w:w="9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imputed interest</w:t>
            </w: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(1,045)</w:t>
            </w:r>
          </w:p>
        </w:tc>
      </w:tr>
      <w:tr>
        <w:trPr>
          <w:trHeight w:val="170"/>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operating lease liabilities</w:t>
            </w: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8,234</w:t>
            </w:r>
          </w:p>
        </w:tc>
      </w:tr>
      <w:tr>
        <w:trPr>
          <w:trHeight w:val="20"/>
        </w:trPr>
        <w:tc>
          <w:tcPr>
            <w:tcW w:w="9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GOODWILL</w:t>
      </w:r>
    </w:p>
    <w:p>
      <w:pPr>
        <w:spacing w:after="0" w:line="106"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carrying amount of goodwill was $7.9 million at both September 30, 2026 and December 31, 2025, with no changes during the nine months ended September 30, 2026. The Company performed its most recent annual goodwill impairment assessment as of August 31, 2026, and concluded that no impairment existed. Through September 30, 2026, the Company did not identify any events or changes in circumstances indicating that it was more likely than not that the fair value of any reporting unit was less than its carrying amount.</w:t>
      </w:r>
    </w:p>
    <w:p>
      <w:pPr>
        <w:spacing w:after="0" w:line="136"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In the first quarter of 2025, the Company determined that a triggering event had occurred at the Company's Banking reporting unit as a result of deteriorated credit quality coupled with trends in the Company's stock price. The Company performed a quantitative impairment test on its Banking reporting unit as of March 31, 2025, and engaged a third-party service provider to assist with the determination of the fair value. The resulting calculation indicated that the carrying amount exceeded the fair value of the Company's Banking reporting unit. As a result of the assessment, the Company recognized a $154.0 million goodwill impairment charge in the first quarter of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DERIVATIVE INSTRUMENTS</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enters into derivative instruments, which may include interest rate swaps and interest rate options, in connection with our risk-management activities. Our primary objective for using derivative financial instruments is to manage interest rate risk associated with our fixed-rate and variable-rate assets and liabilities.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monitor our mix of fixed-rate and variable-rate assets and liabilities and may enter into interest rate swaps, forwards, and options to achieve a more desired mix of fixed-rate and variable-rate assets and liabilities. We execute these trades to modify our exposure to interest rate risk by converting certain fixed-rate instruments to a variable-rate and certain variable-rate instruments to a fixed-rate. We use a mix of both derivatives that qualify for hedge accounting treatment and economic hedges that do not qualify for hedge accounting treatment.</w:t>
      </w:r>
    </w:p>
    <w:p>
      <w:pPr>
        <w:spacing w:after="0" w:line="13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Derivatives qualifying for hedge accounting include fair value hedges and cash flow hedges. Fair value hedges include pay-fixed swaps of securities within our available-for-sale portfolio, and cash flow hedges include interest rate option contracts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on certain securities within our available-for-sale portfolio, a portion of commercial and commercial real estate loans, and receive-fixed swaps of specific fixed-rate unsecured debt obligations and fixed-rate FHLB advances. Both the cash flow and fair value hedges were determined to be effective during all periods presented and the Company expects the hedges to remain effective during the remaining terms of the swaps.</w:t>
      </w:r>
    </w:p>
    <w:p>
      <w:pPr>
        <w:spacing w:after="0" w:line="136"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We also enter into interest rate lock commitments and forward commitments that are executed as part of our mortgage business that do not meet the accounting definition of hedges, as well as interest rate swap contracts sold to commercial customers who wish to modify their interest rate sensitivity. These swaps are offset by contracts simultaneously purchased by the Company from other financial dealer institutions with mirror-image terms. Because of the mirror-image terms of the offsetting contracts, in addition to collateral provisions which mitigate the impact of non-performance risk, changes in the fair value subsequent to initial recognition have a minimal effect on earnings.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Balance Sheet Presentation</w:t>
      </w:r>
    </w:p>
    <w:p>
      <w:pPr>
        <w:spacing w:after="0" w:line="18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summarizes the fair value of derivative instruments reported on our consolidated balance sheets. The amounts are presented on a gross basis, are segregated by derivatives that are designated and qualifying as hedging instruments or those that are not, and are further segregated by type of contract within those two categories. Derivative assets and derivative liabilities are included in other assets and accrued interest payable and other liabilities, respectively, on the consolidated balance sheets.</w:t>
      </w:r>
    </w:p>
    <w:p>
      <w:pPr>
        <w:spacing w:after="0" w:line="136"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Notional amounts are reference amounts from which contractual obligations are derived and are not recorded on the balance sheet. In our view, derivative notional is not an accurate measure of our derivative exposure when viewed in isolation from other factors, such as market rate fluctuations and counterparty credit risk.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0" w:type="dxa"/>
            <w:vAlign w:val="bottom"/>
          </w:tcPr>
          <w:p>
            <w:pPr>
              <w:spacing w:after="0"/>
              <w:rPr>
                <w:sz w:val="13"/>
                <w:szCs w:val="13"/>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0" w:type="dxa"/>
            <w:vAlign w:val="bottom"/>
          </w:tcPr>
          <w:p>
            <w:pPr>
              <w:spacing w:after="0"/>
              <w:rPr>
                <w:sz w:val="1"/>
                <w:szCs w:val="1"/>
                <w:color w:val="auto"/>
              </w:rPr>
            </w:pPr>
          </w:p>
        </w:tc>
      </w:tr>
      <w:tr>
        <w:trPr>
          <w:trHeight w:val="15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 designated as accounting hedges:</w:t>
            </w: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rate contracts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Fair value hedges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7,410</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177,600</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228,157</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flow hedges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90,000</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Pools of commercial and commercial real estate loans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0" w:type="dxa"/>
            <w:vAlign w:val="bottom"/>
          </w:tcPr>
          <w:p>
            <w:pPr>
              <w:spacing w:after="0"/>
              <w:rPr>
                <w:sz w:val="1"/>
                <w:szCs w:val="1"/>
                <w:color w:val="auto"/>
              </w:rPr>
            </w:pPr>
          </w:p>
        </w:tc>
      </w:tr>
      <w:tr>
        <w:trPr>
          <w:trHeight w:val="160"/>
        </w:trPr>
        <w:tc>
          <w:tcPr>
            <w:tcW w:w="4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FHLB advances, brokered CDs and other borrowings</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0" w:type="dxa"/>
            <w:vAlign w:val="bottom"/>
          </w:tcPr>
          <w:p>
            <w:pPr>
              <w:spacing w:after="0"/>
              <w:rPr>
                <w:sz w:val="1"/>
                <w:szCs w:val="1"/>
                <w:color w:val="auto"/>
              </w:rPr>
            </w:pPr>
          </w:p>
        </w:tc>
      </w:tr>
      <w:tr>
        <w:trPr>
          <w:trHeight w:val="195"/>
        </w:trPr>
        <w:tc>
          <w:tcPr>
            <w:tcW w:w="4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derivatives designated as accounting hedges</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743,157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Derivatives not designated as accounting hedges: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rate contracts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Swaps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62,463</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52,637</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rate lock commitments</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4,594</w:t>
            </w:r>
          </w:p>
        </w:tc>
        <w:tc>
          <w:tcPr>
            <w:tcW w:w="0" w:type="dxa"/>
            <w:vAlign w:val="bottom"/>
          </w:tcPr>
          <w:p>
            <w:pPr>
              <w:spacing w:after="0"/>
              <w:rPr>
                <w:sz w:val="1"/>
                <w:szCs w:val="1"/>
                <w:color w:val="auto"/>
              </w:rPr>
            </w:pPr>
          </w:p>
        </w:tc>
      </w:tr>
      <w:tr>
        <w:trPr>
          <w:trHeight w:val="160"/>
        </w:trPr>
        <w:tc>
          <w:tcPr>
            <w:tcW w:w="4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Forward commitments to sell mortgage-backed securities</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9,179</w:t>
            </w:r>
          </w:p>
        </w:tc>
        <w:tc>
          <w:tcPr>
            <w:tcW w:w="0" w:type="dxa"/>
            <w:vAlign w:val="bottom"/>
          </w:tcPr>
          <w:p>
            <w:pPr>
              <w:spacing w:after="0"/>
              <w:rPr>
                <w:sz w:val="1"/>
                <w:szCs w:val="1"/>
                <w:color w:val="auto"/>
              </w:rPr>
            </w:pPr>
          </w:p>
        </w:tc>
      </w:tr>
      <w:tr>
        <w:trPr>
          <w:trHeight w:val="195"/>
        </w:trPr>
        <w:tc>
          <w:tcPr>
            <w:tcW w:w="4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derivatives not designated as accounting hedges</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66,410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amounts recorded in the consolidated balance sheets related to cumulative basis adjustments for fair value hedges: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gridSpan w:val="4"/>
            <w:vMerge w:val="restart"/>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Carrying amount of the hedged items</w:t>
            </w:r>
          </w:p>
        </w:tc>
        <w:tc>
          <w:tcPr>
            <w:tcW w:w="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3200" w:type="dxa"/>
            <w:vAlign w:val="bottom"/>
            <w:gridSpan w:val="4"/>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Cumulative amount of fair value hedging adjustment included in</w:t>
            </w:r>
          </w:p>
        </w:tc>
        <w:tc>
          <w:tcPr>
            <w:tcW w:w="0" w:type="dxa"/>
            <w:vAlign w:val="bottom"/>
          </w:tcPr>
          <w:p>
            <w:pPr>
              <w:spacing w:after="0"/>
              <w:rPr>
                <w:sz w:val="1"/>
                <w:szCs w:val="1"/>
                <w:color w:val="auto"/>
              </w:rPr>
            </w:pPr>
          </w:p>
        </w:tc>
      </w:tr>
      <w:tr>
        <w:trPr>
          <w:trHeight w:val="150"/>
        </w:trPr>
        <w:tc>
          <w:tcPr>
            <w:tcW w:w="4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4"/>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the carrying amount of the hedged items</w:t>
            </w: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 w:type="dxa"/>
            <w:vAlign w:val="bottom"/>
          </w:tcPr>
          <w:p>
            <w:pPr>
              <w:spacing w:after="0"/>
              <w:rPr>
                <w:sz w:val="13"/>
                <w:szCs w:val="13"/>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38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165,454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352,968</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7,410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Statement of Income Presentation</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instruments in fair value hedging relationships on the consolidated statements of income:</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Gain (loss) on fair value hedging relationships</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Interest rate contracts</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Fixed-rate mortgage-backed securities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Gain (loss) on fair value hedging relationships</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Interest rate contracts</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Fixed-rate mortgage-backed securities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Location of gain (loss)</w:t>
            </w:r>
          </w:p>
        </w:tc>
        <w:tc>
          <w:tcPr>
            <w:tcW w:w="100" w:type="dxa"/>
            <w:vAlign w:val="bottom"/>
          </w:tcPr>
          <w:p>
            <w:pPr>
              <w:spacing w:after="0"/>
              <w:rPr>
                <w:sz w:val="11"/>
                <w:szCs w:val="11"/>
                <w:color w:val="auto"/>
              </w:rPr>
            </w:pPr>
          </w:p>
        </w:tc>
        <w:tc>
          <w:tcPr>
            <w:tcW w:w="1920" w:type="dxa"/>
            <w:vAlign w:val="bottom"/>
            <w:gridSpan w:val="4"/>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Gain (loss) recognized in income on</w:t>
            </w: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Gain (loss) recognized in income on</w:t>
            </w:r>
          </w:p>
        </w:tc>
        <w:tc>
          <w:tcPr>
            <w:tcW w:w="0" w:type="dxa"/>
            <w:vAlign w:val="bottom"/>
          </w:tcPr>
          <w:p>
            <w:pPr>
              <w:spacing w:after="0"/>
              <w:rPr>
                <w:sz w:val="1"/>
                <w:szCs w:val="1"/>
                <w:color w:val="auto"/>
              </w:rPr>
            </w:pPr>
          </w:p>
        </w:tc>
      </w:tr>
      <w:tr>
        <w:trPr>
          <w:trHeight w:val="64"/>
        </w:trPr>
        <w:tc>
          <w:tcPr>
            <w:tcW w:w="1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4"/>
            <w:vMerge w:val="restart"/>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related hedged items</w:t>
            </w:r>
          </w:p>
        </w:tc>
        <w:tc>
          <w:tcPr>
            <w:tcW w:w="0" w:type="dxa"/>
            <w:vAlign w:val="bottom"/>
          </w:tcPr>
          <w:p>
            <w:pPr>
              <w:spacing w:after="0"/>
              <w:rPr>
                <w:sz w:val="1"/>
                <w:szCs w:val="1"/>
                <w:color w:val="auto"/>
              </w:rPr>
            </w:pPr>
          </w:p>
        </w:tc>
      </w:tr>
      <w:tr>
        <w:trPr>
          <w:trHeight w:val="85"/>
        </w:trPr>
        <w:tc>
          <w:tcPr>
            <w:tcW w:w="1720" w:type="dxa"/>
            <w:vAlign w:val="bottom"/>
            <w:gridSpan w:val="2"/>
          </w:tcPr>
          <w:p>
            <w:pPr>
              <w:jc w:val="center"/>
              <w:ind w:right="80"/>
              <w:spacing w:after="0" w:line="85" w:lineRule="exact"/>
              <w:rPr>
                <w:sz w:val="20"/>
                <w:szCs w:val="20"/>
                <w:color w:val="auto"/>
              </w:rPr>
            </w:pPr>
            <w:r>
              <w:rPr>
                <w:rFonts w:ascii="Times New Roman" w:cs="Times New Roman" w:eastAsia="Times New Roman" w:hAnsi="Times New Roman"/>
                <w:sz w:val="9"/>
                <w:szCs w:val="9"/>
                <w:b w:val="1"/>
                <w:bCs w:val="1"/>
                <w:color w:val="auto"/>
              </w:rPr>
              <w:t>recognized in income on</w:t>
            </w:r>
          </w:p>
        </w:tc>
        <w:tc>
          <w:tcPr>
            <w:tcW w:w="1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gridSpan w:val="3"/>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9"/>
                <w:szCs w:val="9"/>
                <w:b w:val="1"/>
                <w:bCs w:val="1"/>
                <w:color w:val="auto"/>
              </w:rPr>
              <w:t>Location of gain (loss) recognized</w:t>
            </w:r>
          </w:p>
        </w:tc>
        <w:tc>
          <w:tcPr>
            <w:tcW w:w="1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income on related hedged item</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614"/>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income on investment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6,592</w:t>
            </w:r>
          </w:p>
        </w:tc>
        <w:tc>
          <w:tcPr>
            <w:tcW w:w="80" w:type="dxa"/>
            <w:vAlign w:val="bottom"/>
          </w:tcPr>
          <w:p>
            <w:pPr>
              <w:spacing w:after="0"/>
              <w:rPr>
                <w:sz w:val="24"/>
                <w:szCs w:val="24"/>
                <w:color w:val="auto"/>
              </w:rPr>
            </w:pPr>
          </w:p>
        </w:tc>
        <w:tc>
          <w:tcPr>
            <w:tcW w:w="28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Interest income on investment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(6,638)</w:t>
            </w:r>
          </w:p>
        </w:tc>
        <w:tc>
          <w:tcPr>
            <w:tcW w:w="80" w:type="dxa"/>
            <w:vAlign w:val="bottom"/>
          </w:tcPr>
          <w:p>
            <w:pPr>
              <w:spacing w:after="0"/>
              <w:rPr>
                <w:sz w:val="24"/>
                <w:szCs w:val="24"/>
                <w:color w:val="auto"/>
              </w:rPr>
            </w:pPr>
          </w:p>
        </w:tc>
        <w:tc>
          <w:tcPr>
            <w:tcW w:w="22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0" w:type="dxa"/>
            <w:vAlign w:val="bottom"/>
          </w:tcPr>
          <w:p>
            <w:pPr>
              <w:spacing w:after="0"/>
              <w:rPr>
                <w:sz w:val="1"/>
                <w:szCs w:val="1"/>
                <w:color w:val="auto"/>
              </w:rPr>
            </w:pPr>
          </w:p>
        </w:tc>
      </w:tr>
      <w:tr>
        <w:trPr>
          <w:trHeight w:val="147"/>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2"/>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income on investment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9,703</w:t>
            </w:r>
          </w:p>
        </w:tc>
        <w:tc>
          <w:tcPr>
            <w:tcW w:w="80" w:type="dxa"/>
            <w:vAlign w:val="bottom"/>
          </w:tcPr>
          <w:p>
            <w:pPr>
              <w:spacing w:after="0"/>
              <w:rPr>
                <w:sz w:val="24"/>
                <w:szCs w:val="24"/>
                <w:color w:val="auto"/>
              </w:rPr>
            </w:pPr>
          </w:p>
        </w:tc>
        <w:tc>
          <w:tcPr>
            <w:tcW w:w="28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(5,322)</w:t>
            </w:r>
          </w:p>
        </w:tc>
        <w:tc>
          <w:tcPr>
            <w:tcW w:w="8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Interest income on investment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(9,571)</w:t>
            </w:r>
          </w:p>
        </w:tc>
        <w:tc>
          <w:tcPr>
            <w:tcW w:w="80" w:type="dxa"/>
            <w:vAlign w:val="bottom"/>
          </w:tcPr>
          <w:p>
            <w:pPr>
              <w:spacing w:after="0"/>
              <w:rPr>
                <w:sz w:val="24"/>
                <w:szCs w:val="24"/>
                <w:color w:val="auto"/>
              </w:rPr>
            </w:pPr>
          </w:p>
        </w:tc>
        <w:tc>
          <w:tcPr>
            <w:tcW w:w="22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5,431</w:t>
            </w:r>
          </w:p>
        </w:tc>
        <w:tc>
          <w:tcPr>
            <w:tcW w:w="0" w:type="dxa"/>
            <w:vAlign w:val="bottom"/>
          </w:tcPr>
          <w:p>
            <w:pPr>
              <w:spacing w:after="0"/>
              <w:rPr>
                <w:sz w:val="1"/>
                <w:szCs w:val="1"/>
                <w:color w:val="auto"/>
              </w:rPr>
            </w:pPr>
          </w:p>
        </w:tc>
      </w:tr>
      <w:tr>
        <w:trPr>
          <w:trHeight w:val="147"/>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-1139190</wp:posOffset>
            </wp:positionV>
            <wp:extent cx="7148195" cy="107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-923925</wp:posOffset>
            </wp:positionV>
            <wp:extent cx="7148195" cy="107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-640715</wp:posOffset>
            </wp:positionV>
            <wp:extent cx="7148195" cy="74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7429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-492760</wp:posOffset>
            </wp:positionV>
            <wp:extent cx="7148195" cy="107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-276860</wp:posOffset>
            </wp:positionV>
            <wp:extent cx="7148195" cy="107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600"/>
          </w:cols>
          <w:pgMar w:left="300" w:top="125" w:right="319" w:bottom="1440" w:gutter="0" w:footer="0" w:header="0"/>
          <w:type w:val="continuous"/>
        </w:sectPr>
      </w:pP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instruments in cash flow hedging relationships on the consolidated statements of income: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recognized in AOCI on derivative</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Location of gain (loss) recognized in</w:t>
            </w:r>
          </w:p>
        </w:tc>
        <w:tc>
          <w:tcPr>
            <w:tcW w:w="2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Gain (loss) reclassified from AOCI into income</w:t>
            </w:r>
          </w:p>
        </w:tc>
        <w:tc>
          <w:tcPr>
            <w:tcW w:w="0" w:type="dxa"/>
            <w:vAlign w:val="bottom"/>
          </w:tcPr>
          <w:p>
            <w:pPr>
              <w:spacing w:after="0"/>
              <w:rPr>
                <w:sz w:val="1"/>
                <w:szCs w:val="1"/>
                <w:color w:val="auto"/>
              </w:rPr>
            </w:pPr>
          </w:p>
        </w:tc>
      </w:tr>
      <w:tr>
        <w:trPr>
          <w:trHeight w:val="165"/>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0" w:type="dxa"/>
            <w:vAlign w:val="bottom"/>
          </w:tcPr>
          <w:p>
            <w:pPr>
              <w:spacing w:after="0"/>
              <w:rPr>
                <w:sz w:val="14"/>
                <w:szCs w:val="14"/>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income on derivative</w:t>
            </w:r>
          </w:p>
        </w:tc>
        <w:tc>
          <w:tcPr>
            <w:tcW w:w="260" w:type="dxa"/>
            <w:vAlign w:val="bottom"/>
          </w:tcPr>
          <w:p>
            <w:pPr>
              <w:spacing w:after="0"/>
              <w:rPr>
                <w:sz w:val="14"/>
                <w:szCs w:val="14"/>
                <w:color w:val="auto"/>
              </w:rPr>
            </w:pPr>
          </w:p>
        </w:tc>
        <w:tc>
          <w:tcPr>
            <w:tcW w:w="84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on cash flow hedging relationships</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contracts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Pools of commercial and commercial real estate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income on loans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00" w:type="dxa"/>
            <w:vAlign w:val="bottom"/>
            <w:shd w:val="clear" w:color="auto" w:fill="CCEEFF"/>
          </w:tcPr>
          <w:p>
            <w:pPr>
              <w:spacing w:after="0"/>
              <w:rPr>
                <w:sz w:val="10"/>
                <w:szCs w:val="10"/>
                <w:color w:val="auto"/>
              </w:rPr>
            </w:pPr>
          </w:p>
        </w:tc>
        <w:tc>
          <w:tcPr>
            <w:tcW w:w="2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Interest income on investment securities</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3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available for sale</w:t>
            </w:r>
          </w:p>
        </w:tc>
        <w:tc>
          <w:tcPr>
            <w:tcW w:w="2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FHLB advances, brokered CDs and other borrowings</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expense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gain (loss) on cash flow hedging relationships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Gain (loss) on cash flow hedging relationships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contracts</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Pools of commercial and commercial real estate loans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Interest income on loans</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0"/>
                <w:szCs w:val="10"/>
                <w:color w:val="auto"/>
              </w:rPr>
            </w:pPr>
          </w:p>
        </w:tc>
        <w:tc>
          <w:tcPr>
            <w:tcW w:w="21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color w:val="auto"/>
              </w:rPr>
              <w:t>Interest income on investment securities</w:t>
            </w: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available for sale</w:t>
            </w: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brokered CDs and other borrowings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Interest expense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brokered CDs and other borrowings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Noninterest expense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5"/>
        </w:trPr>
        <w:tc>
          <w:tcPr>
            <w:tcW w:w="4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gain (loss) on cash flow hedging relationships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next 12 months, we estimate $1.4 million of losses will be reclassified into pre-tax earnings from derivatives designated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instruments not designated as accounting hedges on the consolidated statements of income: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140" w:type="dxa"/>
            <w:vAlign w:val="bottom"/>
            <w:tcBorders>
              <w:top w:val="single" w:sz="8" w:color="auto"/>
              <w:bottom w:val="single" w:sz="8" w:color="auto"/>
            </w:tcBorders>
            <w:gridSpan w:val="2"/>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00" w:type="dxa"/>
            <w:vAlign w:val="bottom"/>
          </w:tcPr>
          <w:p>
            <w:pPr>
              <w:spacing w:after="0"/>
              <w:rPr>
                <w:sz w:val="14"/>
                <w:szCs w:val="14"/>
                <w:color w:val="auto"/>
              </w:rPr>
            </w:pPr>
          </w:p>
        </w:tc>
        <w:tc>
          <w:tcPr>
            <w:tcW w:w="3140" w:type="dxa"/>
            <w:vAlign w:val="bottom"/>
            <w:tcBorders>
              <w:top w:val="single" w:sz="8" w:color="auto"/>
              <w:bottom w:val="single" w:sz="8" w:color="auto"/>
            </w:tcBorders>
            <w:gridSpan w:val="2"/>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08"/>
        </w:trPr>
        <w:tc>
          <w:tcPr>
            <w:tcW w:w="2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740" w:type="dxa"/>
            <w:vAlign w:val="bottom"/>
          </w:tcPr>
          <w:p>
            <w:pPr>
              <w:jc w:val="center"/>
              <w:ind w:left="983"/>
              <w:spacing w:after="0" w:line="108" w:lineRule="exact"/>
              <w:rPr>
                <w:sz w:val="20"/>
                <w:szCs w:val="20"/>
                <w:color w:val="auto"/>
              </w:rPr>
            </w:pPr>
            <w:r>
              <w:rPr>
                <w:rFonts w:ascii="Times New Roman" w:cs="Times New Roman" w:eastAsia="Times New Roman" w:hAnsi="Times New Roman"/>
                <w:sz w:val="11"/>
                <w:szCs w:val="11"/>
                <w:b w:val="1"/>
                <w:bCs w:val="1"/>
                <w:color w:val="auto"/>
              </w:rPr>
              <w:t>Location of gain (loss) recognized</w:t>
            </w:r>
          </w:p>
        </w:tc>
        <w:tc>
          <w:tcPr>
            <w:tcW w:w="1580" w:type="dxa"/>
            <w:vAlign w:val="bottom"/>
            <w:vMerge w:val="restart"/>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560" w:type="dxa"/>
            <w:vAlign w:val="bottom"/>
            <w:vMerge w:val="restart"/>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560" w:type="dxa"/>
            <w:vAlign w:val="bottom"/>
            <w:vMerge w:val="restart"/>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580" w:type="dxa"/>
            <w:vAlign w:val="bottom"/>
            <w:vMerge w:val="restart"/>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49"/>
        </w:trPr>
        <w:tc>
          <w:tcPr>
            <w:tcW w:w="2140" w:type="dxa"/>
            <w:vAlign w:val="bottom"/>
            <w:vMerge w:val="continue"/>
          </w:tcPr>
          <w:p>
            <w:pPr>
              <w:spacing w:after="0"/>
              <w:rPr>
                <w:sz w:val="12"/>
                <w:szCs w:val="12"/>
                <w:color w:val="auto"/>
              </w:rPr>
            </w:pPr>
          </w:p>
        </w:tc>
        <w:tc>
          <w:tcPr>
            <w:tcW w:w="2740" w:type="dxa"/>
            <w:vAlign w:val="bottom"/>
          </w:tcPr>
          <w:p>
            <w:pPr>
              <w:jc w:val="center"/>
              <w:ind w:left="983"/>
              <w:spacing w:after="0"/>
              <w:rPr>
                <w:sz w:val="20"/>
                <w:szCs w:val="20"/>
                <w:color w:val="auto"/>
              </w:rPr>
            </w:pPr>
            <w:r>
              <w:rPr>
                <w:rFonts w:ascii="Times New Roman" w:cs="Times New Roman" w:eastAsia="Times New Roman" w:hAnsi="Times New Roman"/>
                <w:sz w:val="11"/>
                <w:szCs w:val="11"/>
                <w:b w:val="1"/>
                <w:bCs w:val="1"/>
                <w:color w:val="auto"/>
              </w:rPr>
              <w:t>in income on derivative</w:t>
            </w:r>
          </w:p>
        </w:tc>
        <w:tc>
          <w:tcPr>
            <w:tcW w:w="1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7526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0" w:lineRule="exact"/>
        <w:rPr>
          <w:sz w:val="20"/>
          <w:szCs w:val="20"/>
          <w:color w:val="auto"/>
        </w:rPr>
      </w:pPr>
    </w:p>
    <w:p>
      <w:pPr>
        <w:ind w:left="80" w:right="240" w:hanging="63"/>
        <w:spacing w:after="0" w:line="263" w:lineRule="auto"/>
        <w:rPr>
          <w:sz w:val="20"/>
          <w:szCs w:val="20"/>
          <w:color w:val="auto"/>
        </w:rPr>
      </w:pPr>
      <w:r>
        <w:rPr>
          <w:rFonts w:ascii="Times New Roman" w:cs="Times New Roman" w:eastAsia="Times New Roman" w:hAnsi="Times New Roman"/>
          <w:sz w:val="11"/>
          <w:szCs w:val="11"/>
          <w:b w:val="1"/>
          <w:bCs w:val="1"/>
          <w:color w:val="auto"/>
        </w:rPr>
        <w:t>Gain (loss) on derivative instruments not designated as accounting hedges</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Interest rate contracts</w:t>
      </w:r>
    </w:p>
    <w:p>
      <w:pPr>
        <w:spacing w:after="0" w:line="43" w:lineRule="exact"/>
        <w:rPr>
          <w:sz w:val="20"/>
          <w:szCs w:val="20"/>
          <w:color w:val="auto"/>
        </w:rPr>
      </w:pPr>
    </w:p>
    <w:p>
      <w:pPr>
        <w:ind w:left="260" w:hanging="63"/>
        <w:spacing w:after="0" w:line="259" w:lineRule="auto"/>
        <w:rPr>
          <w:sz w:val="20"/>
          <w:szCs w:val="20"/>
          <w:color w:val="auto"/>
        </w:rPr>
      </w:pPr>
      <w:r>
        <w:rPr>
          <w:rFonts w:ascii="Times New Roman" w:cs="Times New Roman" w:eastAsia="Times New Roman" w:hAnsi="Times New Roman"/>
          <w:sz w:val="11"/>
          <w:szCs w:val="11"/>
          <w:color w:val="auto"/>
        </w:rPr>
        <w:t>Total gain (loss) on derivative instruments not designated as accounting hedges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Residential mortgage banking</w:t>
            </w:r>
          </w:p>
        </w:tc>
        <w:tc>
          <w:tcPr>
            <w:tcW w:w="720" w:type="dxa"/>
            <w:vAlign w:val="bottom"/>
            <w:vMerge w:val="restart"/>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1"/>
                <w:szCs w:val="11"/>
                <w:color w:val="auto"/>
              </w:rPr>
            </w:pPr>
          </w:p>
        </w:tc>
        <w:tc>
          <w:tcPr>
            <w:tcW w:w="720" w:type="dxa"/>
            <w:vAlign w:val="bottom"/>
            <w:vMerge w:val="restart"/>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1"/>
                <w:szCs w:val="11"/>
                <w:color w:val="auto"/>
              </w:rPr>
            </w:pPr>
          </w:p>
        </w:tc>
        <w:tc>
          <w:tcPr>
            <w:tcW w:w="720" w:type="dxa"/>
            <w:vAlign w:val="bottom"/>
            <w:vMerge w:val="restart"/>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1"/>
                <w:szCs w:val="11"/>
                <w:color w:val="auto"/>
              </w:rPr>
            </w:pPr>
          </w:p>
        </w:tc>
        <w:tc>
          <w:tcPr>
            <w:tcW w:w="680" w:type="dxa"/>
            <w:vAlign w:val="bottom"/>
            <w:vMerge w:val="restart"/>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56"/>
        </w:trPr>
        <w:tc>
          <w:tcPr>
            <w:tcW w:w="152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revenue</w:t>
            </w:r>
          </w:p>
        </w:tc>
        <w:tc>
          <w:tcPr>
            <w:tcW w:w="7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7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-187960</wp:posOffset>
            </wp:positionV>
            <wp:extent cx="716153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75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480"/>
            <w:col w:w="7900"/>
          </w:cols>
          <w:pgMar w:left="300" w:top="125" w:right="31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DEPOSITS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classification of deposits as of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Noninterest-bearing demand</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973,388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1,040,411</w:t>
            </w:r>
          </w:p>
        </w:tc>
      </w:tr>
      <w:tr>
        <w:trPr>
          <w:trHeight w:val="160"/>
        </w:trPr>
        <w:tc>
          <w:tcPr>
            <w:tcW w:w="7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9"/>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Checking</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2,155,193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1,855,215</w:t>
            </w:r>
          </w:p>
        </w:tc>
      </w:tr>
      <w:tr>
        <w:trPr>
          <w:trHeight w:val="160"/>
        </w:trPr>
        <w:tc>
          <w:tcPr>
            <w:tcW w:w="7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Money market</w:t>
            </w:r>
          </w:p>
        </w:tc>
        <w:tc>
          <w:tcPr>
            <w:tcW w:w="2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1,306,610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1,248,942</w:t>
            </w:r>
          </w:p>
        </w:tc>
      </w:tr>
      <w:tr>
        <w:trPr>
          <w:trHeight w:val="179"/>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Savings</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487,742</w:t>
            </w:r>
          </w:p>
        </w:tc>
      </w:tr>
      <w:tr>
        <w:trPr>
          <w:trHeight w:val="16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Time</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683,850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792,069</w:t>
            </w:r>
          </w:p>
        </w:tc>
      </w:tr>
      <w:tr>
        <w:trPr>
          <w:trHeight w:val="195"/>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deposits</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5,617,438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5,424,379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SHORT-TERM BORROWINGS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short-term borrowings as of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38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Securities sold under repurchase agreements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6,499</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10,181</w:t>
            </w:r>
          </w:p>
        </w:tc>
      </w:tr>
      <w:tr>
        <w:trPr>
          <w:trHeight w:val="16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AFX borrowings</w:t>
            </w: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145,000</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50,000</w:t>
            </w:r>
          </w:p>
        </w:tc>
      </w:tr>
      <w:tr>
        <w:trPr>
          <w:trHeight w:val="195"/>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short-term borrowings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151,499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60,181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Securities sold under agreements to repurchase, which are classified as secured borrowings, generally mature within one to four days from the transaction date. Securities sold under agreements to repurchase are reflected at the amount of cash received in connection with the transaction, which represents the amount of the Bank’s obligation. The Bank may be required to provide additional collateral based on the fair value of the underlying securities. The weighted-average interest rate on securities sold under agreements to repurchase was 0.23% and 0.26% at September 30, 2026 and December 31, 2025, respectively. Investment securities with a carrying amount of $7.8 million and $12.2 million at September 30, 2026 and December 31, 2025, respectively, were pledged for securities sold under agreements to repurchase.</w:t>
      </w:r>
    </w:p>
    <w:p>
      <w:pPr>
        <w:spacing w:after="0" w:line="143"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Bank also utilizes unsecured short-term borrowings, including transactions executed through the AFX, to manage liquidity needs. AFX borrowings are generally overnight in nature and are priced at market rates, typically based on AMERIBOR, which ranged from 3.945% to 3.95% at September 30, 2026 and 3.695% to 3.74% at December 31,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FHLB ADVANCES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FHLB advances as of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70"/>
        </w:trPr>
        <w:tc>
          <w:tcPr>
            <w:tcW w:w="8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FHLB advances – fixed rate, fixed term at rates averaging 4.01% and 4.08% at September 30, 2026 and December 31, 2025, respectively - maturing through October 2029</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168,000</w:t>
            </w:r>
          </w:p>
        </w:tc>
        <w:tc>
          <w:tcPr>
            <w:tcW w:w="0" w:type="dxa"/>
            <w:vAlign w:val="bottom"/>
          </w:tcPr>
          <w:p>
            <w:pPr>
              <w:spacing w:after="0"/>
              <w:rPr>
                <w:sz w:val="1"/>
                <w:szCs w:val="1"/>
                <w:color w:val="auto"/>
              </w:rPr>
            </w:pPr>
          </w:p>
        </w:tc>
      </w:tr>
      <w:tr>
        <w:trPr>
          <w:trHeight w:val="121"/>
        </w:trPr>
        <w:tc>
          <w:tcPr>
            <w:tcW w:w="8020" w:type="dxa"/>
            <w:vAlign w:val="bottom"/>
          </w:tcPr>
          <w:p>
            <w:pPr>
              <w:ind w:left="120"/>
              <w:spacing w:after="0" w:line="121" w:lineRule="exact"/>
              <w:rPr>
                <w:sz w:val="20"/>
                <w:szCs w:val="20"/>
                <w:color w:val="auto"/>
              </w:rPr>
            </w:pPr>
            <w:r>
              <w:rPr>
                <w:rFonts w:ascii="Times New Roman" w:cs="Times New Roman" w:eastAsia="Times New Roman" w:hAnsi="Times New Roman"/>
                <w:sz w:val="11"/>
                <w:szCs w:val="11"/>
                <w:color w:val="auto"/>
              </w:rPr>
              <w:t>FHLB advances – putable fixed rate at rates averaging 3.90% and 4.00% at September 30, 2026 and December 31, 2025, respectively – maturing through May 2036 with call</w:t>
            </w:r>
          </w:p>
        </w:tc>
        <w:tc>
          <w:tcPr>
            <w:tcW w:w="20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90,000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0" w:type="dxa"/>
            <w:vAlign w:val="bottom"/>
          </w:tcPr>
          <w:p>
            <w:pPr>
              <w:spacing w:after="0"/>
              <w:rPr>
                <w:sz w:val="1"/>
                <w:szCs w:val="1"/>
                <w:color w:val="auto"/>
              </w:rPr>
            </w:pPr>
          </w:p>
        </w:tc>
      </w:tr>
      <w:tr>
        <w:trPr>
          <w:trHeight w:val="151"/>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provisions through November 2026</w:t>
            </w:r>
          </w:p>
        </w:tc>
        <w:tc>
          <w:tcPr>
            <w:tcW w:w="2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FHLB advances – short term fixed rate at a rate of 4.02% at September 30, 2026 - maturing through October 2026</w:t>
            </w:r>
          </w:p>
        </w:tc>
        <w:tc>
          <w:tcPr>
            <w:tcW w:w="2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155,000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FHLB advances</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353,000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293,000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Company’s advances from the FHLB are collateralized by a blanket collateral agreement of qualifying mortgage and home equity line of credit loans and certain commercial real estate loans totaling approximately $2.62 billion and $2.87 billion at September 30, 2026 and December 31, 2025, respectively. Based on this collateral, the Company was eligible to borrow $0.70 billion from the FHLB at September 30,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ACCUMULATED OTHER COMPREHENSIVE INCOME (LOSS)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changes within each classification of AOCI, net of tax: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0" w:type="dxa"/>
            <w:vAlign w:val="bottom"/>
          </w:tcPr>
          <w:p>
            <w:pPr>
              <w:spacing w:after="0"/>
              <w:rPr>
                <w:sz w:val="11"/>
                <w:szCs w:val="11"/>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Unrealized gains and losses on investment</w:t>
            </w:r>
          </w:p>
        </w:tc>
        <w:tc>
          <w:tcPr>
            <w:tcW w:w="100" w:type="dxa"/>
            <w:vAlign w:val="bottom"/>
          </w:tcPr>
          <w:p>
            <w:pPr>
              <w:spacing w:after="0"/>
              <w:rPr>
                <w:sz w:val="11"/>
                <w:szCs w:val="11"/>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Unrealized gains and losses on cash flow</w:t>
            </w:r>
          </w:p>
        </w:tc>
        <w:tc>
          <w:tcPr>
            <w:tcW w:w="380" w:type="dxa"/>
            <w:vAlign w:val="bottom"/>
          </w:tcPr>
          <w:p>
            <w:pPr>
              <w:spacing w:after="0"/>
              <w:rPr>
                <w:sz w:val="11"/>
                <w:szCs w:val="11"/>
                <w:color w:val="auto"/>
              </w:rPr>
            </w:pPr>
          </w:p>
        </w:tc>
        <w:tc>
          <w:tcPr>
            <w:tcW w:w="1260" w:type="dxa"/>
            <w:vAlign w:val="bottom"/>
            <w:vMerge w:val="restart"/>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securities available for sale</w:t>
            </w: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hedges</w:t>
            </w:r>
          </w:p>
        </w:tc>
        <w:tc>
          <w:tcPr>
            <w:tcW w:w="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AOCI for the three months ended September 30, 2026</w:t>
            </w:r>
          </w:p>
        </w:tc>
        <w:tc>
          <w:tcPr>
            <w:tcW w:w="80" w:type="dxa"/>
            <w:vAlign w:val="bottom"/>
            <w:tcBorders>
              <w:top w:val="single" w:sz="8" w:color="auto"/>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June 30, 2026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(67,105)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8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(67,931)</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(54,443)</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Amounts reclassified from AOCI to income </w:t>
            </w:r>
            <w:r>
              <w:rPr>
                <w:rFonts w:ascii="Times New Roman" w:cs="Times New Roman" w:eastAsia="Times New Roman" w:hAnsi="Times New Roman"/>
                <w:sz w:val="14"/>
                <w:szCs w:val="14"/>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(122,197)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AOCI for the nine months ended September 30, 2026</w:t>
            </w: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December 31,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(59,217)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8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(60,333)</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(63,585)</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Amounts reclassified from AOCI to income </w:t>
            </w:r>
            <w:r>
              <w:rPr>
                <w:rFonts w:ascii="Times New Roman" w:cs="Times New Roman" w:eastAsia="Times New Roman" w:hAnsi="Times New Roman"/>
                <w:sz w:val="14"/>
                <w:szCs w:val="14"/>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(122,197)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AOCI for the three months ended September 30, 2025</w:t>
            </w: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June 30, 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w:t>
            </w:r>
          </w:p>
        </w:tc>
        <w:tc>
          <w:tcPr>
            <w:tcW w:w="8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(73,988)</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Amounts reclassified from AOCI to income </w:t>
            </w:r>
            <w:r>
              <w:rPr>
                <w:rFonts w:ascii="Times New Roman" w:cs="Times New Roman" w:eastAsia="Times New Roman" w:hAnsi="Times New Roman"/>
                <w:sz w:val="14"/>
                <w:szCs w:val="14"/>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(61,754)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AOCI for the nine months ended September 30, 2025</w:t>
            </w: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Balances, December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(79,021)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(2,939)</w:t>
            </w:r>
          </w:p>
        </w:tc>
        <w:tc>
          <w:tcPr>
            <w:tcW w:w="8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(81,960)</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17,850</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Amounts reclassified from AOCI to income </w:t>
            </w:r>
            <w:r>
              <w:rPr>
                <w:rFonts w:ascii="Times New Roman" w:cs="Times New Roman" w:eastAsia="Times New Roman" w:hAnsi="Times New Roman"/>
                <w:sz w:val="14"/>
                <w:szCs w:val="14"/>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Balances, September 30,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(61,754)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(1) See table below for details related to reclassifications to income.</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significant amounts reclassified out of each component of AOCI: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280" w:type="dxa"/>
            <w:vAlign w:val="bottom"/>
            <w:gridSpan w:val="5"/>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0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16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3140" w:type="dxa"/>
            <w:vAlign w:val="bottom"/>
          </w:tcPr>
          <w:p>
            <w:pPr>
              <w:spacing w:after="0"/>
              <w:rPr>
                <w:sz w:val="13"/>
                <w:szCs w:val="13"/>
                <w:color w:val="auto"/>
              </w:rPr>
            </w:pPr>
          </w:p>
        </w:tc>
      </w:tr>
      <w:tr>
        <w:trPr>
          <w:trHeight w:val="160"/>
        </w:trPr>
        <w:tc>
          <w:tcPr>
            <w:tcW w:w="32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Details about AOCI components</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Amounts reclassified from AOCI</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Affected line item in the statement of income</w:t>
            </w:r>
          </w:p>
        </w:tc>
      </w:tr>
      <w:tr>
        <w:trPr>
          <w:trHeight w:val="17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gains and losses on investment securities available for sale</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income (expense)</w:t>
            </w:r>
          </w:p>
        </w:tc>
      </w:tr>
      <w:tr>
        <w:trPr>
          <w:trHeight w:val="160"/>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(1,731)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Loss on sales of investment securities, net</w:t>
            </w:r>
          </w:p>
        </w:tc>
      </w:tr>
      <w:tr>
        <w:trPr>
          <w:trHeight w:val="170"/>
        </w:trPr>
        <w:tc>
          <w:tcPr>
            <w:tcW w:w="3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 benefit</w:t>
            </w:r>
          </w:p>
        </w:tc>
      </w:tr>
      <w:tr>
        <w:trPr>
          <w:trHeight w:val="170"/>
        </w:trPr>
        <w:tc>
          <w:tcPr>
            <w:tcW w:w="3240" w:type="dxa"/>
            <w:vAlign w:val="bottom"/>
          </w:tcPr>
          <w:p>
            <w:pPr>
              <w:spacing w:after="0"/>
              <w:rPr>
                <w:sz w:val="14"/>
                <w:szCs w:val="14"/>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(1,167)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r>
      <w:tr>
        <w:trPr>
          <w:trHeight w:val="163"/>
        </w:trPr>
        <w:tc>
          <w:tcPr>
            <w:tcW w:w="3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r>
      <w:tr>
        <w:trPr>
          <w:trHeight w:val="16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Gains and losses on cash flow hedges</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40" w:type="dxa"/>
            <w:vAlign w:val="bottom"/>
          </w:tcPr>
          <w:p>
            <w:pPr>
              <w:spacing w:after="0"/>
              <w:rPr>
                <w:sz w:val="13"/>
                <w:szCs w:val="13"/>
                <w:color w:val="auto"/>
              </w:rPr>
            </w:pP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 (expense)</w:t>
            </w:r>
          </w:p>
        </w:tc>
      </w:tr>
      <w:tr>
        <w:trPr>
          <w:trHeight w:val="179"/>
        </w:trPr>
        <w:tc>
          <w:tcPr>
            <w:tcW w:w="3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on termination of interest rate swaps</w:t>
            </w:r>
          </w:p>
        </w:tc>
      </w:tr>
      <w:tr>
        <w:trPr>
          <w:trHeight w:val="160"/>
        </w:trPr>
        <w:tc>
          <w:tcPr>
            <w:tcW w:w="3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 benefit</w:t>
            </w:r>
          </w:p>
        </w:tc>
      </w:tr>
      <w:tr>
        <w:trPr>
          <w:trHeight w:val="195"/>
        </w:trPr>
        <w:tc>
          <w:tcPr>
            <w:tcW w:w="3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EARNINGS PER COMMON SHARE</w:t>
      </w:r>
    </w:p>
    <w:p>
      <w:pPr>
        <w:spacing w:after="0" w:line="9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Earnings per common share is calculated utilizing the two-class method. Basic earnings per common share is calculated by dividing the sum of distributed earnings to common shareholders and undistributed earnings allocated to common shareholders by the weighted average number of common shares outstanding. Diluted earnings per common share is calculated by dividing the sum of distributed earnings to common shareholders and undistributed earnings allocated to common shareholders by the weighted average number of shares adjusted for the dilutive effect of common stock awards. Presented below are the calculations for basic and diluted earnings per common share for the three and nine months ended September 30, 2026 and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Pr>
          <w:p>
            <w:pPr>
              <w:spacing w:after="0"/>
              <w:rPr>
                <w:sz w:val="13"/>
                <w:szCs w:val="13"/>
                <w:color w:val="auto"/>
              </w:rPr>
            </w:pPr>
          </w:p>
        </w:tc>
        <w:tc>
          <w:tcPr>
            <w:tcW w:w="2620" w:type="dxa"/>
            <w:vAlign w:val="bottom"/>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 except per share data)</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61,159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c>
          <w:tcPr>
            <w:tcW w:w="0" w:type="dxa"/>
            <w:vAlign w:val="bottom"/>
          </w:tcPr>
          <w:p>
            <w:pPr>
              <w:spacing w:after="0"/>
              <w:rPr>
                <w:sz w:val="1"/>
                <w:szCs w:val="1"/>
                <w:color w:val="auto"/>
              </w:rPr>
            </w:pP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Preferred dividends declared</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(6,685)</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 available to common shareholders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54,474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(128,078)</w:t>
            </w:r>
          </w:p>
        </w:tc>
        <w:tc>
          <w:tcPr>
            <w:tcW w:w="0" w:type="dxa"/>
            <w:vAlign w:val="bottom"/>
          </w:tcPr>
          <w:p>
            <w:pPr>
              <w:spacing w:after="0"/>
              <w:rPr>
                <w:sz w:val="1"/>
                <w:szCs w:val="1"/>
                <w:color w:val="auto"/>
              </w:rPr>
            </w:pP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shareholder dividends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(20,230)</w:t>
            </w:r>
          </w:p>
        </w:tc>
        <w:tc>
          <w:tcPr>
            <w:tcW w:w="0" w:type="dxa"/>
            <w:vAlign w:val="bottom"/>
          </w:tcPr>
          <w:p>
            <w:pPr>
              <w:spacing w:after="0"/>
              <w:rPr>
                <w:sz w:val="1"/>
                <w:szCs w:val="1"/>
                <w:color w:val="auto"/>
              </w:rPr>
            </w:pP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Unvested restricted stock award dividends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0" w:type="dxa"/>
            <w:vAlign w:val="bottom"/>
          </w:tcPr>
          <w:p>
            <w:pPr>
              <w:spacing w:after="0"/>
              <w:rPr>
                <w:sz w:val="1"/>
                <w:szCs w:val="1"/>
                <w:color w:val="auto"/>
              </w:rPr>
            </w:pP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Undistributed earnings to unvested restricted stock awards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5"/>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Undistributed earnings (loss) to common shareholders</w:t>
            </w: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(148,662)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Distributed earnings to common shareholders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20,230</w:t>
            </w:r>
          </w:p>
        </w:tc>
        <w:tc>
          <w:tcPr>
            <w:tcW w:w="0" w:type="dxa"/>
            <w:vAlign w:val="bottom"/>
          </w:tcPr>
          <w:p>
            <w:pPr>
              <w:spacing w:after="0"/>
              <w:rPr>
                <w:sz w:val="1"/>
                <w:szCs w:val="1"/>
                <w:color w:val="auto"/>
              </w:rPr>
            </w:pP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Undistributed earnings (loss) to common shareholders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13,273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32,990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(148,662)</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common shareholders earnings (loss), basic</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Distributed earnings to common shareholders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20,230</w:t>
            </w:r>
          </w:p>
        </w:tc>
        <w:tc>
          <w:tcPr>
            <w:tcW w:w="0" w:type="dxa"/>
            <w:vAlign w:val="bottom"/>
          </w:tcPr>
          <w:p>
            <w:pPr>
              <w:spacing w:after="0"/>
              <w:rPr>
                <w:sz w:val="1"/>
                <w:szCs w:val="1"/>
                <w:color w:val="auto"/>
              </w:rPr>
            </w:pPr>
          </w:p>
        </w:tc>
      </w:tr>
      <w:tr>
        <w:trPr>
          <w:trHeight w:val="16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Undistributed earnings (loss) to common shareholders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13,273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32,990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(148,662)</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common shareholders earnings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(128,432)</w:t>
            </w:r>
          </w:p>
        </w:tc>
        <w:tc>
          <w:tcPr>
            <w:tcW w:w="0" w:type="dxa"/>
            <w:vAlign w:val="bottom"/>
          </w:tcPr>
          <w:p>
            <w:pPr>
              <w:spacing w:after="0"/>
              <w:rPr>
                <w:sz w:val="1"/>
                <w:szCs w:val="1"/>
                <w:color w:val="auto"/>
              </w:rPr>
            </w:pP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 back:</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Undistributed earnings reallocated from unvested restricted stock awards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2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common shareholders earnings (loss), diluted</w:t>
            </w: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20,136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5,204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53,204</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(128,432)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 basic</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21,128,351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21,863,911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21,167,256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21,826,566</w:t>
            </w:r>
          </w:p>
        </w:tc>
        <w:tc>
          <w:tcPr>
            <w:tcW w:w="0" w:type="dxa"/>
            <w:vAlign w:val="bottom"/>
          </w:tcPr>
          <w:p>
            <w:pPr>
              <w:spacing w:after="0"/>
              <w:rPr>
                <w:sz w:val="1"/>
                <w:szCs w:val="1"/>
                <w:color w:val="auto"/>
              </w:rPr>
            </w:pPr>
          </w:p>
        </w:tc>
      </w:tr>
      <w:tr>
        <w:trPr>
          <w:trHeight w:val="160"/>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Dilutive effect of options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5"/>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 diluted</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21,140,143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21,863,911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21,167,256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21,826,566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Basic earnings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60" w:type="dxa"/>
            <w:vAlign w:val="bottom"/>
            <w:vMerge w:val="continue"/>
          </w:tcPr>
          <w:p>
            <w:pPr>
              <w:spacing w:after="0"/>
              <w:rPr>
                <w:sz w:val="10"/>
                <w:szCs w:val="10"/>
                <w:color w:val="auto"/>
              </w:rPr>
            </w:pPr>
          </w:p>
        </w:tc>
        <w:tc>
          <w:tcPr>
            <w:tcW w:w="340" w:type="dxa"/>
            <w:vAlign w:val="bottom"/>
          </w:tcPr>
          <w:p>
            <w:pPr>
              <w:jc w:val="right"/>
              <w:ind w:right="20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0.95</w:t>
            </w:r>
          </w:p>
        </w:tc>
        <w:tc>
          <w:tcPr>
            <w:tcW w:w="100" w:type="dxa"/>
            <w:vAlign w:val="bottom"/>
          </w:tcPr>
          <w:p>
            <w:pPr>
              <w:spacing w:after="0"/>
              <w:rPr>
                <w:sz w:val="10"/>
                <w:szCs w:val="10"/>
                <w:color w:val="auto"/>
              </w:rPr>
            </w:pPr>
          </w:p>
        </w:tc>
        <w:tc>
          <w:tcPr>
            <w:tcW w:w="340" w:type="dxa"/>
            <w:vAlign w:val="bottom"/>
          </w:tcPr>
          <w:p>
            <w:pPr>
              <w:jc w:val="right"/>
              <w:ind w:right="223"/>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0.24</w:t>
            </w:r>
          </w:p>
        </w:tc>
        <w:tc>
          <w:tcPr>
            <w:tcW w:w="100" w:type="dxa"/>
            <w:vAlign w:val="bottom"/>
          </w:tcPr>
          <w:p>
            <w:pPr>
              <w:spacing w:after="0"/>
              <w:rPr>
                <w:sz w:val="10"/>
                <w:szCs w:val="10"/>
                <w:color w:val="auto"/>
              </w:rPr>
            </w:pPr>
          </w:p>
        </w:tc>
        <w:tc>
          <w:tcPr>
            <w:tcW w:w="340" w:type="dxa"/>
            <w:vAlign w:val="bottom"/>
          </w:tcPr>
          <w:p>
            <w:pPr>
              <w:jc w:val="right"/>
              <w:ind w:right="20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2.51</w:t>
            </w:r>
          </w:p>
        </w:tc>
        <w:tc>
          <w:tcPr>
            <w:tcW w:w="100" w:type="dxa"/>
            <w:vAlign w:val="bottom"/>
          </w:tcPr>
          <w:p>
            <w:pPr>
              <w:spacing w:after="0"/>
              <w:rPr>
                <w:sz w:val="10"/>
                <w:szCs w:val="10"/>
                <w:color w:val="auto"/>
              </w:rPr>
            </w:pPr>
          </w:p>
        </w:tc>
        <w:tc>
          <w:tcPr>
            <w:tcW w:w="320" w:type="dxa"/>
            <w:vAlign w:val="bottom"/>
          </w:tcPr>
          <w:p>
            <w:pPr>
              <w:jc w:val="right"/>
              <w:ind w:right="203"/>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17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 earnings (loss) per common share</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Antidilutive stock options </w:t>
            </w:r>
            <w:r>
              <w:rPr>
                <w:rFonts w:ascii="Times New Roman" w:cs="Times New Roman" w:eastAsia="Times New Roman" w:hAnsi="Times New Roman"/>
                <w:sz w:val="14"/>
                <w:szCs w:val="14"/>
                <w:color w:val="auto"/>
                <w:vertAlign w:val="superscript"/>
              </w:rPr>
              <w:t>(1)</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228,802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74,339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228,802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diluted earnings per common share computation excludes antidilutive stock options because the exercise prices of these stock options exceeded the average market prices of the Company's common shares for those respective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FAIR VALUE OF FINANCIAL INSTRUMENTS</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to sell an asset or paid to transfer a liability in an orderly transaction between market participants at the measurement date reflecting assumptions that a market participant would use when pricing an asset or liability. The hierarchy uses three levels of inputs to measure the fair value of assets and liabilities as follows:</w:t>
      </w:r>
    </w:p>
    <w:p>
      <w:pPr>
        <w:spacing w:after="0" w:line="124" w:lineRule="exact"/>
        <w:rPr>
          <w:sz w:val="20"/>
          <w:szCs w:val="20"/>
          <w:color w:val="auto"/>
        </w:rPr>
      </w:pPr>
    </w:p>
    <w:p>
      <w:pPr>
        <w:ind w:left="760" w:hanging="246"/>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Unadjusted quoted prices for identical assets or liabilities traded in active markets.</w:t>
      </w:r>
    </w:p>
    <w:p>
      <w:pPr>
        <w:spacing w:after="0" w:line="178" w:lineRule="exact"/>
        <w:rPr>
          <w:rFonts w:ascii="Times New Roman" w:cs="Times New Roman" w:eastAsia="Times New Roman" w:hAnsi="Times New Roman"/>
          <w:sz w:val="14"/>
          <w:szCs w:val="14"/>
          <w:color w:val="auto"/>
        </w:rPr>
      </w:pPr>
    </w:p>
    <w:p>
      <w:pPr>
        <w:ind w:left="760" w:right="180" w:hanging="246"/>
        <w:spacing w:after="0" w:line="287"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Significant other observable inputs other than Level 1, including quoted prices for similar assets and liabilities in active markets, quoted prices in less active markets, or other observable inputs that can be corroborated by observable market data.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820" w:hanging="6"/>
        <w:spacing w:after="0" w:line="413" w:lineRule="auto"/>
        <w:tabs>
          <w:tab w:leader="none" w:pos="77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Significant unobservable inputs that reflect a company’s own assumptions about the assumptions that market participants would use in pricing an asset or liability. The Company used the following methods and significant assumptions to estimate the fair value of each type of financial instrument:</w:t>
      </w:r>
    </w:p>
    <w:p>
      <w:pPr>
        <w:spacing w:after="0" w:line="3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 securities. </w:t>
      </w:r>
      <w:r>
        <w:rPr>
          <w:rFonts w:ascii="Times New Roman" w:cs="Times New Roman" w:eastAsia="Times New Roman" w:hAnsi="Times New Roman"/>
          <w:sz w:val="14"/>
          <w:szCs w:val="14"/>
          <w:color w:val="auto"/>
        </w:rPr>
        <w:t>The fair value of investment securities available for sale are determined by quoted market prices, if available (Level 1). For investment securities available for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where quoted prices are not available, fair values are calculated based on market prices of similar securities (Level 2). For investment securities available for sale where quoted prices or market prices of similar securities are not available, fair values are calculated using discounted cash flows or other market indicators (Level 3). Securities classified as Level 3 are not actively traded, and as a result, fair value is determined utilizing third-party valuation services through consensus pricing. There were no transfers between Levels 1, 2 or 3 during the period presented for assets measured at fair value on a recurring basis. The fair value of equity securities is determined using quoted prices or market prices for similar securities (Level 1).</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Residential loans held for sale. </w:t>
      </w:r>
      <w:r>
        <w:rPr>
          <w:rFonts w:ascii="Times New Roman" w:cs="Times New Roman" w:eastAsia="Times New Roman" w:hAnsi="Times New Roman"/>
          <w:sz w:val="14"/>
          <w:szCs w:val="14"/>
          <w:color w:val="auto"/>
        </w:rPr>
        <w:t>The fair value of residential loans held for sale is determined using quoted prices for a similar asset, adjusted for specific attributes of that loan (Level 2).</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Credit enhancement asset. </w:t>
      </w:r>
      <w:r>
        <w:rPr>
          <w:rFonts w:ascii="Times New Roman" w:cs="Times New Roman" w:eastAsia="Times New Roman" w:hAnsi="Times New Roman"/>
          <w:sz w:val="14"/>
          <w:szCs w:val="14"/>
          <w:color w:val="auto"/>
        </w:rPr>
        <w:t>The fair value of the credit enhancement asset is calculated using the Income Approach Valuation Method (Level 3).</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Derivative instruments. </w:t>
      </w:r>
      <w:r>
        <w:rPr>
          <w:rFonts w:ascii="Times New Roman" w:cs="Times New Roman" w:eastAsia="Times New Roman" w:hAnsi="Times New Roman"/>
          <w:sz w:val="14"/>
          <w:szCs w:val="14"/>
          <w:color w:val="auto"/>
        </w:rPr>
        <w:t>The fair value of derivative instruments are determined based on derivative valuation models using observable market data as of the measurement date (Level 2).</w:t>
      </w:r>
    </w:p>
    <w:p>
      <w:pPr>
        <w:spacing w:after="0" w:line="1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Collateral dependent loans. </w:t>
      </w:r>
      <w:r>
        <w:rPr>
          <w:rFonts w:ascii="Times New Roman" w:cs="Times New Roman" w:eastAsia="Times New Roman" w:hAnsi="Times New Roman"/>
          <w:sz w:val="14"/>
          <w:szCs w:val="14"/>
          <w:color w:val="auto"/>
        </w:rPr>
        <w:t>Collateral dependent loans are reviewed individually for estimated credit losses. For collateral dependent loans for which repayment is expected to be provided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substantially through the operation or sale of the collateral, the Company estimates expected credit losses based on the fair value of the collateral, adjusted for estimated costs to sell when repayment is expected from sale. The fair value of collateral is generally based on independent appraisals, broker price opinions, observable market data, or other valuation techniques, as adjusted for changes in market conditions, collateral condition, liquidation costs, and other relevant factors. Measurements based on observable market information with no significant unobservable adjustments are classified as Level 2. Measurements that include significant unobservable inputs, including management adjustments to appraised values, liquidation discounts, collateral condition assumptions, guarantor support, or discounted cash flow assumptions, are classified as Level 3.</w:t>
      </w:r>
    </w:p>
    <w:p>
      <w:pPr>
        <w:spacing w:after="0" w:line="13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real estate owned. </w:t>
      </w:r>
      <w:r>
        <w:rPr>
          <w:rFonts w:ascii="Times New Roman" w:cs="Times New Roman" w:eastAsia="Times New Roman" w:hAnsi="Times New Roman"/>
          <w:sz w:val="14"/>
          <w:szCs w:val="14"/>
          <w:color w:val="auto"/>
        </w:rPr>
        <w:t>OREO is initially recorded at fair value at the date of foreclosure less estimated costs of disposal, which establishes a new cost basis. After foreclosure, OREO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for sale and is carried at the lower of cost or fair value less estimated costs of disposal. Fair value for OREO is based on an appraisal performed upon foreclosure. Adjustments are routinely made in the appraisal process by the independent appraisers to adjust for differences between comparable sales and income data available. Property is evaluated regularly to ensure the recorded amount is supported by its fair value less estimated costs to dispose. After the initial foreclosure appraisal, fair value is generally determined by an annual appraisal unless known events warrant adjustments to the recorded value (Level 2). When adjustments are made to an appraised value to reflect various factors such as the age of the appraisal or known changes in the market or the collateral, such valuation inputs are considered unobservable (Level 3).</w:t>
      </w:r>
    </w:p>
    <w:p>
      <w:pPr>
        <w:spacing w:after="0" w:line="144" w:lineRule="exact"/>
        <w:rPr>
          <w:sz w:val="20"/>
          <w:szCs w:val="20"/>
          <w:color w:val="auto"/>
        </w:rPr>
      </w:pPr>
    </w:p>
    <w:p>
      <w:pPr>
        <w:ind w:right="460" w:firstLine="509"/>
        <w:spacing w:after="0" w:line="270" w:lineRule="auto"/>
        <w:rPr>
          <w:sz w:val="20"/>
          <w:szCs w:val="20"/>
          <w:color w:val="auto"/>
        </w:rPr>
      </w:pPr>
      <w:r>
        <w:rPr>
          <w:rFonts w:ascii="Times New Roman" w:cs="Times New Roman" w:eastAsia="Times New Roman" w:hAnsi="Times New Roman"/>
          <w:sz w:val="14"/>
          <w:szCs w:val="14"/>
          <w:color w:val="auto"/>
        </w:rPr>
        <w:t>Appraisals for both collateral-dependent loans and OREO are performed by certified general appraisers (for commercial properties) or certified residential appraisers (for residential properties) whose qualifications and licenses have been reviewed and verified by the Company. Once received, a member of the Company’s asset quality or collections department reviews the assumptions and approaches utilized in the appraisal.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Assets and liabilities measured and recorded at fair value, including financial assets for which the Company has elected the fair value option, on a recurring and nonrecurring basis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and December 31, 2025, are summarized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24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markets</w:t>
            </w: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0" w:type="dxa"/>
            <w:vAlign w:val="bottom"/>
          </w:tcPr>
          <w:p>
            <w:pPr>
              <w:spacing w:after="0"/>
              <w:rPr>
                <w:sz w:val="1"/>
                <w:szCs w:val="1"/>
                <w:color w:val="auto"/>
              </w:rPr>
            </w:pPr>
          </w:p>
        </w:tc>
      </w:tr>
      <w:tr>
        <w:trPr>
          <w:trHeight w:val="108"/>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4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9"/>
                <w:szCs w:val="9"/>
                <w:color w:val="auto"/>
              </w:rPr>
            </w:pPr>
          </w:p>
        </w:tc>
        <w:tc>
          <w:tcPr>
            <w:tcW w:w="116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inputs</w:t>
            </w:r>
          </w:p>
        </w:tc>
        <w:tc>
          <w:tcPr>
            <w:tcW w:w="260" w:type="dxa"/>
            <w:vAlign w:val="bottom"/>
          </w:tcPr>
          <w:p>
            <w:pPr>
              <w:spacing w:after="0"/>
              <w:rPr>
                <w:sz w:val="9"/>
                <w:szCs w:val="9"/>
                <w:color w:val="auto"/>
              </w:rPr>
            </w:pPr>
          </w:p>
        </w:tc>
        <w:tc>
          <w:tcPr>
            <w:tcW w:w="1060" w:type="dxa"/>
            <w:vAlign w:val="bottom"/>
          </w:tcPr>
          <w:p>
            <w:pPr>
              <w:jc w:val="center"/>
              <w:ind w:right="183"/>
              <w:spacing w:after="0" w:line="115" w:lineRule="exact"/>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5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13"/>
                <w:szCs w:val="13"/>
                <w:color w:val="auto"/>
              </w:rPr>
            </w:pPr>
          </w:p>
        </w:tc>
        <w:tc>
          <w:tcPr>
            <w:tcW w:w="106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 and liabilities measured at fair value on a recurring basis:</w:t>
            </w: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Treasury securities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6,434</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6,434</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62,290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1,342,675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1,342,675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108,554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18,346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236,718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236,718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64,083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loans held for sale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Credit enhancement asset</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14,364</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assets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1,939,903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1,921,712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14,364</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Derivative liabilities</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 measured at fair value on a non-recurring basis: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 dependent loans: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10,588</w:t>
            </w:r>
          </w:p>
        </w:tc>
        <w:tc>
          <w:tcPr>
            <w:tcW w:w="0" w:type="dxa"/>
            <w:vAlign w:val="bottom"/>
          </w:tcPr>
          <w:p>
            <w:pPr>
              <w:spacing w:after="0"/>
              <w:rPr>
                <w:sz w:val="1"/>
                <w:szCs w:val="1"/>
                <w:color w:val="auto"/>
              </w:rPr>
            </w:pPr>
          </w:p>
        </w:tc>
      </w:tr>
      <w:tr>
        <w:trPr>
          <w:trHeight w:val="160"/>
        </w:trPr>
        <w:tc>
          <w:tcPr>
            <w:tcW w:w="5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real estate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33,834</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real estate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0" w:type="dxa"/>
            <w:vAlign w:val="bottom"/>
          </w:tcPr>
          <w:p>
            <w:pPr>
              <w:spacing w:after="0"/>
              <w:rPr>
                <w:sz w:val="1"/>
                <w:szCs w:val="1"/>
                <w:color w:val="auto"/>
              </w:rPr>
            </w:pPr>
          </w:p>
        </w:tc>
      </w:tr>
      <w:tr>
        <w:trPr>
          <w:trHeight w:val="151"/>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real estate owned</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24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markets</w:t>
            </w:r>
          </w:p>
        </w:tc>
        <w:tc>
          <w:tcPr>
            <w:tcW w:w="240" w:type="dxa"/>
            <w:vAlign w:val="bottom"/>
          </w:tcPr>
          <w:p>
            <w:pPr>
              <w:spacing w:after="0"/>
              <w:rPr>
                <w:sz w:val="9"/>
                <w:szCs w:val="9"/>
                <w:color w:val="auto"/>
              </w:rPr>
            </w:pPr>
          </w:p>
        </w:tc>
        <w:tc>
          <w:tcPr>
            <w:tcW w:w="116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40" w:type="dxa"/>
            <w:vAlign w:val="bottom"/>
          </w:tcPr>
          <w:p>
            <w:pPr>
              <w:spacing w:after="0"/>
              <w:rPr>
                <w:sz w:val="9"/>
                <w:szCs w:val="9"/>
                <w:color w:val="auto"/>
              </w:rPr>
            </w:pPr>
          </w:p>
        </w:tc>
        <w:tc>
          <w:tcPr>
            <w:tcW w:w="116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10"/>
                <w:szCs w:val="10"/>
                <w:color w:val="auto"/>
              </w:rPr>
            </w:pPr>
          </w:p>
        </w:tc>
        <w:tc>
          <w:tcPr>
            <w:tcW w:w="116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60" w:type="dxa"/>
            <w:vAlign w:val="bottom"/>
          </w:tcPr>
          <w:p>
            <w:pPr>
              <w:spacing w:after="0"/>
              <w:rPr>
                <w:sz w:val="10"/>
                <w:szCs w:val="10"/>
                <w:color w:val="auto"/>
              </w:rPr>
            </w:pPr>
          </w:p>
        </w:tc>
        <w:tc>
          <w:tcPr>
            <w:tcW w:w="1060" w:type="dxa"/>
            <w:vAlign w:val="bottom"/>
          </w:tcPr>
          <w:p>
            <w:pPr>
              <w:jc w:val="center"/>
              <w:ind w:right="183"/>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54"/>
        </w:trPr>
        <w:tc>
          <w:tcPr>
            <w:tcW w:w="5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60" w:type="dxa"/>
            <w:vAlign w:val="bottom"/>
          </w:tcPr>
          <w:p>
            <w:pPr>
              <w:spacing w:after="0"/>
              <w:rPr>
                <w:sz w:val="13"/>
                <w:szCs w:val="13"/>
                <w:color w:val="auto"/>
              </w:rPr>
            </w:pPr>
          </w:p>
        </w:tc>
        <w:tc>
          <w:tcPr>
            <w:tcW w:w="106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5"/>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 and liabilities measured at fair value on a recurring basis:</w:t>
            </w: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19,823</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19,823</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1,193,750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1,193,750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97,089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34,215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73,458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46,854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57,812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loans held for sale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7,781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Credit enhancement asset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12,557</w:t>
            </w: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assets</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5"/>
        </w:trPr>
        <w:tc>
          <w:tcPr>
            <w:tcW w:w="5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1,551,025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1,534,233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7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liabilities</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5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4,999</w:t>
            </w:r>
          </w:p>
        </w:tc>
        <w:tc>
          <w:tcPr>
            <w:tcW w:w="10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4,999</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Assets measured at fair value on a non-recurring basis: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Collateral dependent loans: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8,136</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8,136</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real estate</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40,324</w:t>
            </w:r>
          </w:p>
        </w:tc>
        <w:tc>
          <w:tcPr>
            <w:tcW w:w="0" w:type="dxa"/>
            <w:vAlign w:val="bottom"/>
          </w:tcPr>
          <w:p>
            <w:pPr>
              <w:spacing w:after="0"/>
              <w:rPr>
                <w:sz w:val="1"/>
                <w:szCs w:val="1"/>
                <w:color w:val="auto"/>
              </w:rPr>
            </w:pPr>
          </w:p>
        </w:tc>
      </w:tr>
      <w:tr>
        <w:trPr>
          <w:trHeight w:val="160"/>
        </w:trPr>
        <w:tc>
          <w:tcPr>
            <w:tcW w:w="5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real estate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real estate owned</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losses recognized on assets measured at fair value on a nonrecurring basis for the three and nine months ended September 30, 2026 and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Collateral dependent loans</w:t>
            </w: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4,563</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16,114</w:t>
            </w:r>
          </w:p>
        </w:tc>
      </w:tr>
      <w:tr>
        <w:trPr>
          <w:trHeight w:val="170"/>
        </w:trPr>
        <w:tc>
          <w:tcPr>
            <w:tcW w:w="5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losses on assets measured on a nonrecurring basis</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4,563</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13,576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16,114</w:t>
            </w: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quantitative information about significant unobservable inputs used in fair value measurements of Level 3 assets measured on a nonrecurring basis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and December 31, 2025:</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vMerge w:val="restart"/>
          </w:tcPr>
          <w:p>
            <w:pPr>
              <w:spacing w:after="0"/>
              <w:rPr>
                <w:sz w:val="11"/>
                <w:szCs w:val="11"/>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23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 xml:space="preserve">Discount Rate Range (weighted average)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100" w:type="dxa"/>
            <w:vAlign w:val="bottom"/>
            <w:tcBorders>
              <w:bottom w:val="single" w:sz="8" w:color="CCEEFF"/>
            </w:tcBorders>
          </w:tcPr>
          <w:p>
            <w:pPr>
              <w:spacing w:after="0"/>
              <w:rPr>
                <w:sz w:val="13"/>
                <w:szCs w:val="13"/>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input / assumptions</w:t>
            </w:r>
          </w:p>
        </w:tc>
        <w:tc>
          <w:tcPr>
            <w:tcW w:w="10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Collateral dependent loans: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8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10,588</w:t>
            </w:r>
          </w:p>
        </w:tc>
        <w:tc>
          <w:tcPr>
            <w:tcW w:w="80" w:type="dxa"/>
            <w:vAlign w:val="bottom"/>
            <w:shd w:val="clear" w:color="auto" w:fill="CCEEFF"/>
          </w:tcPr>
          <w:p>
            <w:pPr>
              <w:spacing w:after="0"/>
              <w:rPr>
                <w:sz w:val="10"/>
                <w:szCs w:val="10"/>
                <w:color w:val="auto"/>
              </w:rPr>
            </w:pPr>
          </w:p>
        </w:tc>
        <w:tc>
          <w:tcPr>
            <w:tcW w:w="2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0.00% - 23.94% (3.76%)</w:t>
            </w:r>
          </w:p>
        </w:tc>
        <w:tc>
          <w:tcPr>
            <w:tcW w:w="0" w:type="dxa"/>
            <w:vAlign w:val="bottom"/>
          </w:tcPr>
          <w:p>
            <w:pPr>
              <w:spacing w:after="0"/>
              <w:rPr>
                <w:sz w:val="1"/>
                <w:szCs w:val="1"/>
                <w:color w:val="auto"/>
              </w:rPr>
            </w:pPr>
          </w:p>
        </w:tc>
      </w:tr>
      <w:tr>
        <w:trPr>
          <w:trHeight w:val="159"/>
        </w:trPr>
        <w:tc>
          <w:tcPr>
            <w:tcW w:w="280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2"/>
            <w:vMerge w:val="continue"/>
            <w:shd w:val="clear" w:color="auto" w:fill="CCEEFF"/>
          </w:tcPr>
          <w:p>
            <w:pPr>
              <w:spacing w:after="0"/>
              <w:rPr>
                <w:sz w:val="13"/>
                <w:szCs w:val="13"/>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14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33,834</w:t>
            </w:r>
          </w:p>
        </w:tc>
        <w:tc>
          <w:tcPr>
            <w:tcW w:w="80" w:type="dxa"/>
            <w:vAlign w:val="bottom"/>
          </w:tcPr>
          <w:p>
            <w:pPr>
              <w:spacing w:after="0"/>
              <w:rPr>
                <w:sz w:val="10"/>
                <w:szCs w:val="10"/>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0.00% - 100.00% (4.74%)</w:t>
            </w:r>
          </w:p>
        </w:tc>
        <w:tc>
          <w:tcPr>
            <w:tcW w:w="0" w:type="dxa"/>
            <w:vAlign w:val="bottom"/>
          </w:tcPr>
          <w:p>
            <w:pPr>
              <w:spacing w:after="0"/>
              <w:rPr>
                <w:sz w:val="1"/>
                <w:szCs w:val="1"/>
                <w:color w:val="auto"/>
              </w:rPr>
            </w:pPr>
          </w:p>
        </w:tc>
      </w:tr>
      <w:tr>
        <w:trPr>
          <w:trHeight w:val="153"/>
        </w:trPr>
        <w:tc>
          <w:tcPr>
            <w:tcW w:w="2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1,281</w:t>
            </w:r>
          </w:p>
        </w:tc>
        <w:tc>
          <w:tcPr>
            <w:tcW w:w="80" w:type="dxa"/>
            <w:vAlign w:val="bottom"/>
            <w:shd w:val="clear" w:color="auto" w:fill="CCEEFF"/>
          </w:tcPr>
          <w:p>
            <w:pPr>
              <w:spacing w:after="0"/>
              <w:rPr>
                <w:sz w:val="10"/>
                <w:szCs w:val="10"/>
                <w:color w:val="auto"/>
              </w:rPr>
            </w:pPr>
          </w:p>
        </w:tc>
        <w:tc>
          <w:tcPr>
            <w:tcW w:w="2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shd w:val="clear" w:color="auto" w:fill="CCEEFF"/>
          </w:tcPr>
          <w:p>
            <w:pPr>
              <w:jc w:val="center"/>
              <w:ind w:right="120"/>
              <w:spacing w:after="0" w:line="123"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0.00%- 0.00% (0.00%)</w:t>
            </w:r>
          </w:p>
        </w:tc>
        <w:tc>
          <w:tcPr>
            <w:tcW w:w="0" w:type="dxa"/>
            <w:vAlign w:val="bottom"/>
          </w:tcPr>
          <w:p>
            <w:pPr>
              <w:spacing w:after="0"/>
              <w:rPr>
                <w:sz w:val="1"/>
                <w:szCs w:val="1"/>
                <w:color w:val="auto"/>
              </w:rPr>
            </w:pPr>
          </w:p>
        </w:tc>
      </w:tr>
      <w:tr>
        <w:trPr>
          <w:trHeight w:val="159"/>
        </w:trPr>
        <w:tc>
          <w:tcPr>
            <w:tcW w:w="2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2"/>
            <w:vMerge w:val="continue"/>
            <w:shd w:val="clear" w:color="auto" w:fill="CCEEFF"/>
          </w:tcPr>
          <w:p>
            <w:pPr>
              <w:spacing w:after="0"/>
              <w:rPr>
                <w:sz w:val="13"/>
                <w:szCs w:val="13"/>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Other real estate owned</w:t>
            </w:r>
          </w:p>
        </w:tc>
        <w:tc>
          <w:tcPr>
            <w:tcW w:w="14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Pr>
          <w:p>
            <w:pPr>
              <w:spacing w:after="0"/>
              <w:rPr>
                <w:sz w:val="10"/>
                <w:szCs w:val="10"/>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54.10% - 71.57% (59.63%)</w:t>
            </w:r>
          </w:p>
        </w:tc>
        <w:tc>
          <w:tcPr>
            <w:tcW w:w="0" w:type="dxa"/>
            <w:vAlign w:val="bottom"/>
          </w:tcPr>
          <w:p>
            <w:pPr>
              <w:spacing w:after="0"/>
              <w:rPr>
                <w:sz w:val="1"/>
                <w:szCs w:val="1"/>
                <w:color w:val="auto"/>
              </w:rPr>
            </w:pPr>
          </w:p>
        </w:tc>
      </w:tr>
      <w:tr>
        <w:trPr>
          <w:trHeight w:val="153"/>
        </w:trPr>
        <w:tc>
          <w:tcPr>
            <w:tcW w:w="2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Collateral dependent loans: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8,136</w:t>
            </w:r>
          </w:p>
        </w:tc>
        <w:tc>
          <w:tcPr>
            <w:tcW w:w="80" w:type="dxa"/>
            <w:vAlign w:val="bottom"/>
          </w:tcPr>
          <w:p>
            <w:pPr>
              <w:spacing w:after="0"/>
              <w:rPr>
                <w:sz w:val="10"/>
                <w:szCs w:val="10"/>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0.00% - 0.00% (0.00%)</w:t>
            </w:r>
          </w:p>
        </w:tc>
        <w:tc>
          <w:tcPr>
            <w:tcW w:w="0" w:type="dxa"/>
            <w:vAlign w:val="bottom"/>
          </w:tcPr>
          <w:p>
            <w:pPr>
              <w:spacing w:after="0"/>
              <w:rPr>
                <w:sz w:val="1"/>
                <w:szCs w:val="1"/>
                <w:color w:val="auto"/>
              </w:rPr>
            </w:pPr>
          </w:p>
        </w:tc>
      </w:tr>
      <w:tr>
        <w:trPr>
          <w:trHeight w:val="153"/>
        </w:trPr>
        <w:tc>
          <w:tcPr>
            <w:tcW w:w="28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40,324</w:t>
            </w:r>
          </w:p>
        </w:tc>
        <w:tc>
          <w:tcPr>
            <w:tcW w:w="80" w:type="dxa"/>
            <w:vAlign w:val="bottom"/>
            <w:shd w:val="clear" w:color="auto" w:fill="CCEEFF"/>
          </w:tcPr>
          <w:p>
            <w:pPr>
              <w:spacing w:after="0"/>
              <w:rPr>
                <w:sz w:val="10"/>
                <w:szCs w:val="10"/>
                <w:color w:val="auto"/>
              </w:rPr>
            </w:pPr>
          </w:p>
        </w:tc>
        <w:tc>
          <w:tcPr>
            <w:tcW w:w="2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shd w:val="clear" w:color="auto" w:fill="CCEEFF"/>
          </w:tcPr>
          <w:p>
            <w:pPr>
              <w:jc w:val="center"/>
              <w:ind w:right="120"/>
              <w:spacing w:after="0" w:line="123"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0.00% - 100.00% (4.79%)</w:t>
            </w:r>
          </w:p>
        </w:tc>
        <w:tc>
          <w:tcPr>
            <w:tcW w:w="0" w:type="dxa"/>
            <w:vAlign w:val="bottom"/>
          </w:tcPr>
          <w:p>
            <w:pPr>
              <w:spacing w:after="0"/>
              <w:rPr>
                <w:sz w:val="1"/>
                <w:szCs w:val="1"/>
                <w:color w:val="auto"/>
              </w:rPr>
            </w:pPr>
          </w:p>
        </w:tc>
      </w:tr>
      <w:tr>
        <w:trPr>
          <w:trHeight w:val="159"/>
        </w:trPr>
        <w:tc>
          <w:tcPr>
            <w:tcW w:w="2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2"/>
            <w:vMerge w:val="continue"/>
            <w:shd w:val="clear" w:color="auto" w:fill="CCEEFF"/>
          </w:tcPr>
          <w:p>
            <w:pPr>
              <w:spacing w:after="0"/>
              <w:rPr>
                <w:sz w:val="13"/>
                <w:szCs w:val="13"/>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140" w:type="dxa"/>
            <w:vAlign w:val="bottom"/>
          </w:tcPr>
          <w:p>
            <w:pPr>
              <w:spacing w:after="0"/>
              <w:rPr>
                <w:sz w:val="10"/>
                <w:szCs w:val="10"/>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592</w:t>
            </w:r>
          </w:p>
        </w:tc>
        <w:tc>
          <w:tcPr>
            <w:tcW w:w="80" w:type="dxa"/>
            <w:vAlign w:val="bottom"/>
          </w:tcPr>
          <w:p>
            <w:pPr>
              <w:spacing w:after="0"/>
              <w:rPr>
                <w:sz w:val="10"/>
                <w:szCs w:val="10"/>
                <w:color w:val="auto"/>
              </w:rPr>
            </w:pP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0.00% - 0.00% (0.00%)</w:t>
            </w:r>
          </w:p>
        </w:tc>
        <w:tc>
          <w:tcPr>
            <w:tcW w:w="0" w:type="dxa"/>
            <w:vAlign w:val="bottom"/>
          </w:tcPr>
          <w:p>
            <w:pPr>
              <w:spacing w:after="0"/>
              <w:rPr>
                <w:sz w:val="1"/>
                <w:szCs w:val="1"/>
                <w:color w:val="auto"/>
              </w:rPr>
            </w:pPr>
          </w:p>
        </w:tc>
      </w:tr>
      <w:tr>
        <w:trPr>
          <w:trHeight w:val="153"/>
        </w:trPr>
        <w:tc>
          <w:tcPr>
            <w:tcW w:w="2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real estate owned</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shd w:val="clear" w:color="auto" w:fill="CCEEFF"/>
          </w:tcPr>
          <w:p>
            <w:pPr>
              <w:spacing w:after="0"/>
              <w:rPr>
                <w:sz w:val="10"/>
                <w:szCs w:val="10"/>
                <w:color w:val="auto"/>
              </w:rPr>
            </w:pPr>
          </w:p>
        </w:tc>
        <w:tc>
          <w:tcPr>
            <w:tcW w:w="2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Fair value of collateral</w:t>
            </w:r>
          </w:p>
        </w:tc>
        <w:tc>
          <w:tcPr>
            <w:tcW w:w="2840" w:type="dxa"/>
            <w:vAlign w:val="bottom"/>
            <w:gridSpan w:val="2"/>
            <w:shd w:val="clear" w:color="auto" w:fill="CCEEFF"/>
          </w:tcPr>
          <w:p>
            <w:pPr>
              <w:jc w:val="center"/>
              <w:ind w:right="120"/>
              <w:spacing w:after="0" w:line="123" w:lineRule="exact"/>
              <w:rPr>
                <w:sz w:val="20"/>
                <w:szCs w:val="20"/>
                <w:color w:val="auto"/>
              </w:rPr>
            </w:pPr>
            <w:r>
              <w:rPr>
                <w:rFonts w:ascii="Times New Roman" w:cs="Times New Roman" w:eastAsia="Times New Roman" w:hAnsi="Times New Roman"/>
                <w:sz w:val="11"/>
                <w:szCs w:val="11"/>
                <w:color w:val="auto"/>
              </w:rPr>
              <w:t>Discount for type of property, age of appraisal, and/or</w:t>
            </w:r>
          </w:p>
        </w:tc>
        <w:tc>
          <w:tcPr>
            <w:tcW w:w="2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54.10% - 70.67% (58.17%)</w:t>
            </w:r>
          </w:p>
        </w:tc>
        <w:tc>
          <w:tcPr>
            <w:tcW w:w="0" w:type="dxa"/>
            <w:vAlign w:val="bottom"/>
          </w:tcPr>
          <w:p>
            <w:pPr>
              <w:spacing w:after="0"/>
              <w:rPr>
                <w:sz w:val="1"/>
                <w:szCs w:val="1"/>
                <w:color w:val="auto"/>
              </w:rPr>
            </w:pPr>
          </w:p>
        </w:tc>
      </w:tr>
      <w:tr>
        <w:trPr>
          <w:trHeight w:val="159"/>
        </w:trPr>
        <w:tc>
          <w:tcPr>
            <w:tcW w:w="2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2"/>
            <w:vMerge w:val="continue"/>
            <w:shd w:val="clear" w:color="auto" w:fill="CCEEFF"/>
          </w:tcPr>
          <w:p>
            <w:pPr>
              <w:spacing w:after="0"/>
              <w:rPr>
                <w:sz w:val="13"/>
                <w:szCs w:val="13"/>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current status</w:t>
            </w:r>
          </w:p>
        </w:tc>
        <w:tc>
          <w:tcPr>
            <w:tcW w:w="23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Unobservable inputs were weighted by the relative fair value of the instruments.</w:t>
      </w:r>
    </w:p>
    <w:p>
      <w:pPr>
        <w:spacing w:after="0" w:line="341"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color w:val="auto"/>
        </w:rPr>
        <w:t xml:space="preserve">ASC Topic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requires disclosure of the estimated fair value of certain financial instruments and the methods and significant assumptions used to estimate such fair values. Additionally, certain financial instruments and all nonfinancial instruments are excluded from the applicable disclosure requirements.</w:t>
      </w:r>
    </w:p>
    <w:p>
      <w:pPr>
        <w:spacing w:after="0" w:line="122"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Company has elected the fair value option for newly originated residential loans held for sale. These loans are intended for sale and are hedged with derivative instruments. We have elected the fair value option to mitigate accounting mismatches in cases where hedge accounting is complex and to achieve operational simplification.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difference between the aggregate fair value and the aggregate remaining principal balance for loans for which the fair value option has been elected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and December 31, 2025:</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0"/>
                <w:szCs w:val="10"/>
                <w:color w:val="auto"/>
              </w:rPr>
            </w:pPr>
          </w:p>
        </w:tc>
        <w:tc>
          <w:tcPr>
            <w:tcW w:w="108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Difference</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00" w:type="dxa"/>
            <w:vAlign w:val="bottom"/>
          </w:tcPr>
          <w:p>
            <w:pPr>
              <w:spacing w:after="0"/>
              <w:rPr>
                <w:sz w:val="10"/>
                <w:szCs w:val="10"/>
                <w:color w:val="auto"/>
              </w:rPr>
            </w:pPr>
          </w:p>
        </w:tc>
        <w:tc>
          <w:tcPr>
            <w:tcW w:w="108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2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Difference</w:t>
            </w:r>
          </w:p>
        </w:tc>
        <w:tc>
          <w:tcPr>
            <w:tcW w:w="200" w:type="dxa"/>
            <w:vAlign w:val="bottom"/>
          </w:tcPr>
          <w:p>
            <w:pPr>
              <w:spacing w:after="0"/>
              <w:rPr>
                <w:sz w:val="10"/>
                <w:szCs w:val="10"/>
                <w:color w:val="auto"/>
              </w:rPr>
            </w:pPr>
          </w:p>
        </w:tc>
        <w:tc>
          <w:tcPr>
            <w:tcW w:w="1000" w:type="dxa"/>
            <w:vAlign w:val="bottom"/>
          </w:tcPr>
          <w:p>
            <w:pPr>
              <w:jc w:val="center"/>
              <w:ind w:right="123"/>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0" w:type="dxa"/>
            <w:vAlign w:val="bottom"/>
          </w:tcPr>
          <w:p>
            <w:pPr>
              <w:spacing w:after="0"/>
              <w:rPr>
                <w:sz w:val="1"/>
                <w:szCs w:val="1"/>
                <w:color w:val="auto"/>
              </w:rPr>
            </w:pPr>
          </w:p>
        </w:tc>
      </w:tr>
      <w:tr>
        <w:trPr>
          <w:trHeight w:val="154"/>
        </w:trPr>
        <w:tc>
          <w:tcPr>
            <w:tcW w:w="3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6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loans held for sale</w:t>
            </w: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4,529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7,781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amount of gains (losses) from fair value changes included in income before income taxes for financial assets carried at fair value for the three and nine months ended September 30,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25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loans held for sale</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carrying values and estimated fair value of certain financial instruments not carried at fair value at September 30, 2026 and December 31, 2025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26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5"/>
        </w:trPr>
        <w:tc>
          <w:tcPr>
            <w:tcW w:w="3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markets</w:t>
            </w:r>
          </w:p>
        </w:tc>
        <w:tc>
          <w:tcPr>
            <w:tcW w:w="260" w:type="dxa"/>
            <w:vAlign w:val="bottom"/>
          </w:tcPr>
          <w:p>
            <w:pPr>
              <w:spacing w:after="0"/>
              <w:rPr>
                <w:sz w:val="9"/>
                <w:szCs w:val="9"/>
                <w:color w:val="auto"/>
              </w:rPr>
            </w:pPr>
          </w:p>
        </w:tc>
        <w:tc>
          <w:tcPr>
            <w:tcW w:w="128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6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20" w:type="dxa"/>
            <w:vAlign w:val="bottom"/>
          </w:tcPr>
          <w:p>
            <w:pPr>
              <w:spacing w:after="0"/>
              <w:rPr>
                <w:sz w:val="10"/>
                <w:szCs w:val="10"/>
                <w:color w:val="auto"/>
              </w:rPr>
            </w:pPr>
          </w:p>
        </w:tc>
        <w:tc>
          <w:tcPr>
            <w:tcW w:w="1200" w:type="dxa"/>
            <w:vAlign w:val="bottom"/>
          </w:tcPr>
          <w:p>
            <w:pPr>
              <w:jc w:val="center"/>
              <w:ind w:right="163"/>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06"/>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Pr>
          <w:p>
            <w:pPr>
              <w:spacing w:after="0"/>
              <w:rPr>
                <w:sz w:val="9"/>
                <w:szCs w:val="9"/>
                <w:color w:val="auto"/>
              </w:rPr>
            </w:pPr>
          </w:p>
        </w:tc>
        <w:tc>
          <w:tcPr>
            <w:tcW w:w="136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w w:val="96"/>
              </w:rPr>
              <w:t>assets</w:t>
            </w:r>
          </w:p>
        </w:tc>
        <w:tc>
          <w:tcPr>
            <w:tcW w:w="260" w:type="dxa"/>
            <w:vAlign w:val="bottom"/>
          </w:tcPr>
          <w:p>
            <w:pPr>
              <w:spacing w:after="0"/>
              <w:rPr>
                <w:sz w:val="9"/>
                <w:szCs w:val="9"/>
                <w:color w:val="auto"/>
              </w:rPr>
            </w:pPr>
          </w:p>
        </w:tc>
        <w:tc>
          <w:tcPr>
            <w:tcW w:w="1280" w:type="dxa"/>
            <w:vAlign w:val="bottom"/>
            <w:gridSpan w:val="2"/>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200" w:type="dxa"/>
            <w:vAlign w:val="bottom"/>
          </w:tcPr>
          <w:p>
            <w:pPr>
              <w:jc w:val="center"/>
              <w:ind w:right="163"/>
              <w:spacing w:after="0" w:line="106" w:lineRule="exact"/>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3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2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13"/>
                <w:szCs w:val="13"/>
                <w:color w:val="auto"/>
              </w:rPr>
            </w:pPr>
          </w:p>
        </w:tc>
        <w:tc>
          <w:tcPr>
            <w:tcW w:w="120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due from banks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99,055</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99,055</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99,055</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Federal funds sold</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net</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4,221,976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4,065,790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4,065,790</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interest receivable</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27,849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Deposits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5,617,438</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5,608,501</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5,608,501</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151,499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FHLB and other borrowings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353,000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350,609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350,609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Subordinated debt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Trust preferred debentures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52,409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47,277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9"/>
        </w:trPr>
        <w:tc>
          <w:tcPr>
            <w:tcW w:w="3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26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06"/>
        </w:trPr>
        <w:tc>
          <w:tcPr>
            <w:tcW w:w="3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markets</w:t>
            </w:r>
          </w:p>
        </w:tc>
        <w:tc>
          <w:tcPr>
            <w:tcW w:w="260" w:type="dxa"/>
            <w:vAlign w:val="bottom"/>
          </w:tcPr>
          <w:p>
            <w:pPr>
              <w:spacing w:after="0"/>
              <w:rPr>
                <w:sz w:val="9"/>
                <w:szCs w:val="9"/>
                <w:color w:val="auto"/>
              </w:rPr>
            </w:pPr>
          </w:p>
        </w:tc>
        <w:tc>
          <w:tcPr>
            <w:tcW w:w="1280" w:type="dxa"/>
            <w:vAlign w:val="bottom"/>
            <w:gridSpan w:val="2"/>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6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20" w:type="dxa"/>
            <w:vAlign w:val="bottom"/>
          </w:tcPr>
          <w:p>
            <w:pPr>
              <w:spacing w:after="0"/>
              <w:rPr>
                <w:sz w:val="10"/>
                <w:szCs w:val="10"/>
                <w:color w:val="auto"/>
              </w:rPr>
            </w:pPr>
          </w:p>
        </w:tc>
        <w:tc>
          <w:tcPr>
            <w:tcW w:w="1200" w:type="dxa"/>
            <w:vAlign w:val="bottom"/>
          </w:tcPr>
          <w:p>
            <w:pPr>
              <w:jc w:val="center"/>
              <w:ind w:right="163"/>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1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w w:val="96"/>
              </w:rPr>
              <w:t>assets</w:t>
            </w:r>
          </w:p>
        </w:tc>
        <w:tc>
          <w:tcPr>
            <w:tcW w:w="26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10"/>
                <w:szCs w:val="10"/>
                <w:color w:val="auto"/>
              </w:rPr>
            </w:pPr>
          </w:p>
        </w:tc>
        <w:tc>
          <w:tcPr>
            <w:tcW w:w="1200" w:type="dxa"/>
            <w:vAlign w:val="bottom"/>
          </w:tcPr>
          <w:p>
            <w:pPr>
              <w:jc w:val="center"/>
              <w:ind w:right="163"/>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54"/>
        </w:trPr>
        <w:tc>
          <w:tcPr>
            <w:tcW w:w="3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2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13"/>
                <w:szCs w:val="13"/>
                <w:color w:val="auto"/>
              </w:rPr>
            </w:pPr>
          </w:p>
        </w:tc>
        <w:tc>
          <w:tcPr>
            <w:tcW w:w="120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due from banks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127,279</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127,279</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127,279</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Federal funds sold</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net</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4,282,785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4,229,483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4,229,483</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interest receivable</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Deposits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5,424,379</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5,421,497</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5,421,497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60,181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FHLB and other borrowings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293,000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295,047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Subordinated debt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23,005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3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Trust preferred debentures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51,857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48,626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methods utilized to measure fair value of financial instruments at September 30, 2026 and December 31, 2025 represent an approximation of exit price; however, an actual exit price may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CONTINGENCIES AND CREDIT RISK</w:t>
      </w:r>
    </w:p>
    <w:p>
      <w:pPr>
        <w:spacing w:after="0" w:line="96"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there are outstanding various contingent liabilities such as claims and legal actions, which are not reflected in the consolidated financial statements. No material losses are anticipated as a result of these actions or claims.</w:t>
      </w:r>
    </w:p>
    <w:p>
      <w:pPr>
        <w:spacing w:after="0" w:line="124"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We are a party to financial instruments with off-balance-sheet risk in the normal course of business to meet the financing needs of our customers. These financial instruments include commitments to extend credit and standby letters of credit. Those instruments involve, to varying degrees, elements of credit risk in excess of the amount recognized in the balance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sheet. The contract amounts of those instruments reflect the extent of involvement we have in particular classes of financial instruments.</w:t>
      </w:r>
    </w:p>
    <w:p>
      <w:pPr>
        <w:spacing w:after="0" w:line="17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Our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 The commitments are principally tied to variable rates. The Company does not anticipate any material losses and has adequately reserved for these instruments. The following table summarizes commitments to extend credit and standby letters of credit as of September 30, 2026 and December 31, 2025:</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4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0"/>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to extend credit</w:t>
            </w: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913,843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821,801</w:t>
            </w:r>
          </w:p>
        </w:tc>
      </w:tr>
      <w:tr>
        <w:trPr>
          <w:trHeight w:val="151"/>
        </w:trPr>
        <w:tc>
          <w:tcPr>
            <w:tcW w:w="7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Financial guarantees – standby letters of credit</w:t>
            </w:r>
          </w:p>
        </w:tc>
        <w:tc>
          <w:tcPr>
            <w:tcW w:w="22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44,283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30,808</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SEGMENT INFORMATION</w:t>
      </w:r>
    </w:p>
    <w:p>
      <w:pPr>
        <w:spacing w:after="0" w:line="9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The Company's reportable segments are determined by the Chief Executive Officer, who is the designated chief operating decision maker, based upon information provided about the Company's products and services offered, primarily distinguished between Banking, Wealth Management and Corporate. They are also distinguished by the level of information provided to the chief operating decision maker, who uses such information to review performance of various components of the business, which are then aggregated if operating performance, products and services, and customers are similar. The chief operating decision maker analyzes the financial performance of the Company's segments, allocates resources and assesses compensation of certain employees by evaluating revenue streams, significant expenses and budget to actual results. The performance of the Banking segment is assessed by monitoring the margin between interest income and interest expense related to loans, investments, deposits and other borrowings. Pre-tax profit and loss is used to assess the performance of the Wealth Management segment. Interest expense, provision for credit losses and payroll provide the significant expenses in the Banking segment, while payroll provides the significant expenses in the Wealth Management segment.</w:t>
      </w:r>
    </w:p>
    <w:p>
      <w:pPr>
        <w:spacing w:after="0" w:line="14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Banking segment provides a wide range of financial products and services to consumers and businesses, including commercial, commercial real estate, mortgage and other consumer loan products; mortgage loan sales and servicing; letters of credit; various types of deposit products, including checking, savings and time deposit accounts; merchant services; and corporate treasury management services.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Wealth Management segment consists of trust and fiduciary services, brokerage and retirement planning services.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Corporate segment includes the holding company financing and investment activities, administrative expenses, as well as the elimination of intercompany transactions.</w:t>
      </w:r>
    </w:p>
    <w:p>
      <w:pPr>
        <w:spacing w:after="0" w:line="179" w:lineRule="exact"/>
        <w:rPr>
          <w:sz w:val="20"/>
          <w:szCs w:val="20"/>
          <w:color w:val="auto"/>
        </w:rPr>
      </w:pPr>
    </w:p>
    <w:p>
      <w:pPr>
        <w:ind w:right="320" w:firstLine="509"/>
        <w:spacing w:after="0" w:line="264" w:lineRule="auto"/>
        <w:rPr>
          <w:sz w:val="20"/>
          <w:szCs w:val="20"/>
          <w:color w:val="auto"/>
        </w:rPr>
      </w:pPr>
      <w:r>
        <w:rPr>
          <w:rFonts w:ascii="Times New Roman" w:cs="Times New Roman" w:eastAsia="Times New Roman" w:hAnsi="Times New Roman"/>
          <w:sz w:val="14"/>
          <w:szCs w:val="14"/>
          <w:color w:val="auto"/>
        </w:rPr>
        <w:t>Reported segments and the financial information of the reported segments are not necessarily comparable with similar information reported by other financial institutions. Additionally, because of the interrelationships of the various segments, the information presented is not indicative of how the segments would perform if they operated as independent entities. Changes in management structure or allocation methodologies and procedures may result in future changes to previously reported segment financial data. The accounting policies of the segments are substantially the same as those described in the “Summary of Significant Accounting Policies” in Note 1 of the Company’s 2025 Annual Report on Form 10-K.</w:t>
      </w:r>
    </w:p>
    <w:p>
      <w:pPr>
        <w:spacing w:after="0" w:line="140"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Transactions between segments consist primarily of borrowed funds and servicing fees. Noninterest income and expense directly attributable to a segment are assigned to it with various shared service costs such as human resources, accounting, finance, risk management and information technology expense assigned to the Banking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Selected business segment financial information for the three and nine months ended September 30, 2026 and 2025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Banking</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Wealth</w:t>
            </w:r>
          </w:p>
        </w:tc>
        <w:tc>
          <w:tcPr>
            <w:tcW w:w="18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40" w:type="dxa"/>
            <w:vAlign w:val="bottom"/>
          </w:tcPr>
          <w:p>
            <w:pPr>
              <w:spacing w:after="0"/>
              <w:rPr>
                <w:sz w:val="11"/>
                <w:szCs w:val="11"/>
                <w:color w:val="auto"/>
              </w:rPr>
            </w:pPr>
          </w:p>
        </w:tc>
        <w:tc>
          <w:tcPr>
            <w:tcW w:w="86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Management</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w:t>
            </w: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93,021</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93,021</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28,912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30,299</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62,722</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3,735</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8,651</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14,586</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14,719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8,651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23,237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28,500</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Other noninterest expense </w:t>
            </w:r>
            <w:r>
              <w:rPr>
                <w:rFonts w:ascii="Times New Roman" w:cs="Times New Roman" w:eastAsia="Times New Roman" w:hAnsi="Times New Roman"/>
                <w:sz w:val="14"/>
                <w:szCs w:val="14"/>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22,479</w:t>
            </w: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47,064</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6,356</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52,843</w:t>
            </w:r>
          </w:p>
        </w:tc>
        <w:tc>
          <w:tcPr>
            <w:tcW w:w="0" w:type="dxa"/>
            <w:vAlign w:val="bottom"/>
          </w:tcPr>
          <w:p>
            <w:pPr>
              <w:spacing w:after="0"/>
              <w:rPr>
                <w:sz w:val="1"/>
                <w:szCs w:val="1"/>
                <w:color w:val="auto"/>
              </w:rPr>
            </w:pPr>
          </w:p>
        </w:tc>
      </w:tr>
      <w:tr>
        <w:trPr>
          <w:trHeight w:val="151"/>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29,381</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6,573</w:t>
            </w:r>
          </w:p>
        </w:tc>
        <w:tc>
          <w:tcPr>
            <w:tcW w:w="0" w:type="dxa"/>
            <w:vAlign w:val="bottom"/>
          </w:tcPr>
          <w:p>
            <w:pPr>
              <w:spacing w:after="0"/>
              <w:rPr>
                <w:sz w:val="1"/>
                <w:szCs w:val="1"/>
                <w:color w:val="auto"/>
              </w:rPr>
            </w:pPr>
          </w:p>
        </w:tc>
      </w:tr>
      <w:tr>
        <w:trPr>
          <w:trHeight w:val="170"/>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22,808</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6,830,426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6,816,842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267,220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267,220</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87,492</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179,728</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15,557</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25,667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43,460</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46,069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25,667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69,127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82,011</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3,649</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Other noninterest expense </w:t>
            </w:r>
            <w:r>
              <w:rPr>
                <w:rFonts w:ascii="Times New Roman" w:cs="Times New Roman" w:eastAsia="Times New Roman" w:hAnsi="Times New Roman"/>
                <w:sz w:val="14"/>
                <w:szCs w:val="14"/>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62,964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66,335</w:t>
            </w: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136,203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154,022</w:t>
            </w:r>
          </w:p>
        </w:tc>
        <w:tc>
          <w:tcPr>
            <w:tcW w:w="0" w:type="dxa"/>
            <w:vAlign w:val="bottom"/>
          </w:tcPr>
          <w:p>
            <w:pPr>
              <w:spacing w:after="0"/>
              <w:rPr>
                <w:sz w:val="1"/>
                <w:szCs w:val="1"/>
                <w:color w:val="auto"/>
              </w:rPr>
            </w:pPr>
          </w:p>
        </w:tc>
      </w:tr>
      <w:tr>
        <w:trPr>
          <w:trHeight w:val="151"/>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 (benefit)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79,276</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18,117</w:t>
            </w:r>
          </w:p>
        </w:tc>
        <w:tc>
          <w:tcPr>
            <w:tcW w:w="0" w:type="dxa"/>
            <w:vAlign w:val="bottom"/>
          </w:tcPr>
          <w:p>
            <w:pPr>
              <w:spacing w:after="0"/>
              <w:rPr>
                <w:sz w:val="1"/>
                <w:szCs w:val="1"/>
                <w:color w:val="auto"/>
              </w:rPr>
            </w:pPr>
          </w:p>
        </w:tc>
      </w:tr>
      <w:tr>
        <w:trPr>
          <w:trHeight w:val="170"/>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60,613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61,159</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6,830,426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6,816,842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Banking</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Wealth</w:t>
            </w:r>
          </w:p>
        </w:tc>
        <w:tc>
          <w:tcPr>
            <w:tcW w:w="18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40" w:type="dxa"/>
            <w:vAlign w:val="bottom"/>
          </w:tcPr>
          <w:p>
            <w:pPr>
              <w:spacing w:after="0"/>
              <w:rPr>
                <w:sz w:val="11"/>
                <w:szCs w:val="11"/>
                <w:color w:val="auto"/>
              </w:rPr>
            </w:pPr>
          </w:p>
        </w:tc>
        <w:tc>
          <w:tcPr>
            <w:tcW w:w="86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6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Management</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98,493</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98,493</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37,376</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61,117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20,005</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8,018</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11,998</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13,861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8,018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20,016</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26,393</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1,216</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Other noninterest expense </w:t>
            </w:r>
            <w:r>
              <w:rPr>
                <w:rFonts w:ascii="Times New Roman" w:cs="Times New Roman" w:eastAsia="Times New Roman" w:hAnsi="Times New Roman"/>
                <w:sz w:val="14"/>
                <w:szCs w:val="14"/>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20,727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21,462</w:t>
            </w:r>
          </w:p>
        </w:tc>
        <w:tc>
          <w:tcPr>
            <w:tcW w:w="0" w:type="dxa"/>
            <w:vAlign w:val="bottom"/>
          </w:tcPr>
          <w:p>
            <w:pPr>
              <w:spacing w:after="0"/>
              <w:rPr>
                <w:sz w:val="1"/>
                <w:szCs w:val="1"/>
                <w:color w:val="auto"/>
              </w:rPr>
            </w:pPr>
          </w:p>
        </w:tc>
      </w:tr>
      <w:tr>
        <w:trPr>
          <w:trHeight w:val="16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44,629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49,814</w:t>
            </w:r>
          </w:p>
        </w:tc>
        <w:tc>
          <w:tcPr>
            <w:tcW w:w="0" w:type="dxa"/>
            <w:vAlign w:val="bottom"/>
          </w:tcPr>
          <w:p>
            <w:pPr>
              <w:spacing w:after="0"/>
              <w:rPr>
                <w:sz w:val="1"/>
                <w:szCs w:val="1"/>
                <w:color w:val="auto"/>
              </w:rPr>
            </w:pPr>
          </w:p>
        </w:tc>
      </w:tr>
      <w:tr>
        <w:trPr>
          <w:trHeight w:val="151"/>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11,314</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3,757</w:t>
            </w:r>
          </w:p>
        </w:tc>
        <w:tc>
          <w:tcPr>
            <w:tcW w:w="0" w:type="dxa"/>
            <w:vAlign w:val="bottom"/>
          </w:tcPr>
          <w:p>
            <w:pPr>
              <w:spacing w:after="0"/>
              <w:rPr>
                <w:sz w:val="1"/>
                <w:szCs w:val="1"/>
                <w:color w:val="auto"/>
              </w:rPr>
            </w:pPr>
          </w:p>
        </w:tc>
      </w:tr>
      <w:tr>
        <w:trPr>
          <w:trHeight w:val="170"/>
        </w:trPr>
        <w:tc>
          <w:tcPr>
            <w:tcW w:w="6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11,095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7,557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6,922,827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35,589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(46,901)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6,911,515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295,772</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295,772</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110,620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117,670</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185,152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178,102</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48,224</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22,747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38,566</w:t>
            </w:r>
          </w:p>
        </w:tc>
        <w:tc>
          <w:tcPr>
            <w:tcW w:w="0" w:type="dxa"/>
            <w:vAlign w:val="bottom"/>
          </w:tcPr>
          <w:p>
            <w:pPr>
              <w:spacing w:after="0"/>
              <w:rPr>
                <w:sz w:val="1"/>
                <w:szCs w:val="1"/>
                <w:color w:val="auto"/>
              </w:rPr>
            </w:pPr>
          </w:p>
        </w:tc>
      </w:tr>
      <w:tr>
        <w:trPr>
          <w:trHeight w:val="151"/>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42,183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22,747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(3,617)</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61,313</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78,494</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expense</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0" w:type="dxa"/>
            <w:vAlign w:val="bottom"/>
          </w:tcPr>
          <w:p>
            <w:pPr>
              <w:spacing w:after="0"/>
              <w:rPr>
                <w:sz w:val="1"/>
                <w:szCs w:val="1"/>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Impairment on goodwill</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153,977</w:t>
            </w:r>
          </w:p>
        </w:tc>
        <w:tc>
          <w:tcPr>
            <w:tcW w:w="0" w:type="dxa"/>
            <w:vAlign w:val="bottom"/>
          </w:tcPr>
          <w:p>
            <w:pPr>
              <w:spacing w:after="0"/>
              <w:rPr>
                <w:sz w:val="1"/>
                <w:szCs w:val="1"/>
                <w:color w:val="auto"/>
              </w:rPr>
            </w:pPr>
          </w:p>
        </w:tc>
      </w:tr>
      <w:tr>
        <w:trPr>
          <w:trHeight w:val="17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Other noninterest expense </w:t>
            </w:r>
            <w:r>
              <w:rPr>
                <w:rFonts w:ascii="Times New Roman" w:cs="Times New Roman" w:eastAsia="Times New Roman" w:hAnsi="Times New Roman"/>
                <w:sz w:val="14"/>
                <w:szCs w:val="14"/>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61,560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64,187</w:t>
            </w:r>
          </w:p>
        </w:tc>
        <w:tc>
          <w:tcPr>
            <w:tcW w:w="0" w:type="dxa"/>
            <w:vAlign w:val="bottom"/>
          </w:tcPr>
          <w:p>
            <w:pPr>
              <w:spacing w:after="0"/>
              <w:rPr>
                <w:sz w:val="1"/>
                <w:szCs w:val="1"/>
                <w:color w:val="auto"/>
              </w:rPr>
            </w:pPr>
          </w:p>
        </w:tc>
      </w:tr>
      <w:tr>
        <w:trPr>
          <w:trHeight w:val="151"/>
        </w:trPr>
        <w:tc>
          <w:tcPr>
            <w:tcW w:w="6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287,334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17,744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302,811</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 (benefit)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(111,620)</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7,758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9,773</w:t>
            </w:r>
          </w:p>
        </w:tc>
        <w:tc>
          <w:tcPr>
            <w:tcW w:w="0" w:type="dxa"/>
            <w:vAlign w:val="bottom"/>
          </w:tcPr>
          <w:p>
            <w:pPr>
              <w:spacing w:after="0"/>
              <w:rPr>
                <w:sz w:val="1"/>
                <w:szCs w:val="1"/>
                <w:color w:val="auto"/>
              </w:rPr>
            </w:pPr>
          </w:p>
        </w:tc>
      </w:tr>
      <w:tr>
        <w:trPr>
          <w:trHeight w:val="195"/>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(115,981)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(121,393)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6,922,827</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35,589</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(46,901)</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6,911,515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left="260" w:right="220" w:hanging="255"/>
        <w:spacing w:after="0" w:line="270" w:lineRule="auto"/>
        <w:tabs>
          <w:tab w:leader="none" w:pos="25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noninterest expense for Banking includes occupancy and equipment, data processing, FDIC insurance, professional services, marketing, communications, loan expense and other miscellaneous expenses. Other noninterest expense for Wealth Management includes occupancy and equipment, data processing, professional services, marketing, communications and other miscellaneous expenses. Other noninterest expense for Corporate includes data processing, professional services, marketing and other miscellaneous expenses.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REVENUE FROM CONTRACTS WITH CUSTOMERS</w:t>
      </w:r>
    </w:p>
    <w:p>
      <w:pPr>
        <w:spacing w:after="0" w:line="9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revenue from contracts with customers in the scope of Topic 606 is recognized within noninterest income in the consolidated statements of income. The following presents noninterest income, segregated by revenue streams in-scope and out-of-scope of Topic 606, for the three and nine months ended September 30, 2026 and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3"/>
                <w:szCs w:val="13"/>
                <w:color w:val="auto"/>
              </w:rPr>
            </w:pPr>
          </w:p>
        </w:tc>
        <w:tc>
          <w:tcPr>
            <w:tcW w:w="2660" w:type="dxa"/>
            <w:vAlign w:val="bottom"/>
            <w:gridSpan w:val="4"/>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Noninterest income - in-scope of Topic 606</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0"/>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Wealth management revenue:</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Trust management/administration fees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19,854</w:t>
            </w:r>
          </w:p>
        </w:tc>
      </w:tr>
      <w:tr>
        <w:trPr>
          <w:trHeight w:val="16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advisory and brokerage fees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1,602</w:t>
            </w:r>
          </w:p>
        </w:tc>
      </w:tr>
      <w:tr>
        <w:trPr>
          <w:trHeight w:val="17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w:t>
            </w:r>
          </w:p>
        </w:tc>
      </w:tr>
      <w:tr>
        <w:trPr>
          <w:trHeight w:val="160"/>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Service charges on deposit accounts: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Nonsufficient fund fees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6,206</w:t>
            </w:r>
          </w:p>
        </w:tc>
      </w:tr>
      <w:tr>
        <w:trPr>
          <w:trHeight w:val="16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4,049</w:t>
            </w:r>
          </w:p>
        </w:tc>
      </w:tr>
      <w:tr>
        <w:trPr>
          <w:trHeight w:val="17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Interchange revenues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10,059</w:t>
            </w:r>
          </w:p>
        </w:tc>
      </w:tr>
      <w:tr>
        <w:trPr>
          <w:trHeight w:val="160"/>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Other income:</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Merchant services revenue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w:t>
            </w:r>
          </w:p>
        </w:tc>
      </w:tr>
      <w:tr>
        <w:trPr>
          <w:trHeight w:val="16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w:t>
            </w:r>
          </w:p>
        </w:tc>
      </w:tr>
      <w:tr>
        <w:trPr>
          <w:trHeight w:val="1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Noninterest income - out-of-scope of Topic 606</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19,362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15,591</w:t>
            </w:r>
          </w:p>
        </w:tc>
      </w:tr>
      <w:tr>
        <w:trPr>
          <w:trHeight w:val="170"/>
        </w:trPr>
        <w:tc>
          <w:tcPr>
            <w:tcW w:w="5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noninterest income</w:t>
            </w: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23,237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20,016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69,127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61,313</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Topic 606 does not apply to revenue associated with financial instruments, including revenue from loans and investment securities. In addition, certain noninterest income streams such as commercial FHA revenue, residential mortgage banking revenue, credit enhancement income, and gain on sales of investment securities, net, are also not in scope of Topic 606. Topic 606 is applicable to noninterest income streams such as wealth management revenue, service charges on deposit accounts, interchange revenue, and certain other noninterest income streams. The noninterest income streams considered in-scope by Topic 606 are discussed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Wealth Management Revenue</w:t>
      </w:r>
    </w:p>
    <w:p>
      <w:pPr>
        <w:spacing w:after="0" w:line="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4"/>
          <w:szCs w:val="14"/>
          <w:color w:val="auto"/>
        </w:rPr>
        <w:t>Wealth management revenue is primarily comprised of fees earned from the management and administration of trusts and other customer assets. The Company also earns investment advisory fees through its SEC registered investment advisory subsidiary. The Company’s performance obligation in both of these instances is generally satisfied over time and the resulting fees are recognized monthly, based upon the month-end market value of the assets under management and contractually determined fee schedules. Payment is generally received a few days after month end through a direct charge to each customer’s account.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 Fees generated from transactions executed by the Company’s third party broker dealer are remitted to the Company on a monthly basis for that month’s transactional activity.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Charges on Deposit Accounts</w:t>
      </w:r>
    </w:p>
    <w:p>
      <w:pPr>
        <w:spacing w:after="0" w:line="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4"/>
          <w:szCs w:val="14"/>
          <w:color w:val="auto"/>
        </w:rPr>
        <w:t>Service charges on deposit accounts consist of fees received under depository agreements with customers to provide access to deposited funds, serve as custodian of deposited funds, and when applicable, pay interest on deposits. These service charges primarily include non-sufficient fund fees and other account related service charges. Non-sufficient fund fees are earned when a depositor presents an item for payment in excess of available funds, and the Company, at its discretion, provides the necessary funds to complete the transaction. The Company generates other account related service charge revenue by providing depositors proper safeguard and remittance of funds as well as by delivering optional services for depositors, such as check imaging or treasury management, that are performed upon the depositor’s request. The Company’s performance obligation for the proper safeguard and remittance of funds, monthly account analysis and any other monthly service fees is generally satisfied, and the related revenue recognized, over the period in which the service is provided. Payment for service charges on deposit accounts is typically received immediately or in the following month through a direct charge to a customer’s account.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Interchange Revenue</w:t>
      </w:r>
    </w:p>
    <w:p>
      <w:pPr>
        <w:spacing w:after="0" w:line="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Interchange revenue includes debit / credit card income and ATM user fees. Card income is primarily comprised of interchange fees earned for standing ready to authorize and providing settlement on card transactions processed through the MasterCard interchange network. The levels and structure of interchange rates are set by MasterCard and can vary based on cardholder purchase volumes. Interchange fees from cardholder transactions represent a percentage of the underlying transaction value and are recognized daily, concurrently with completion of the Company’s performance obligation, the transaction processing services provided to the cardholder. Payment is typically received immediately or in the following month. ATM fees are primarily generated when a Company cardholder withdraws funds from a non-Company ATM or a non-Company cardholder withdraws funds from a Company ATM. The Company satisfies its performance obligation for each transaction at the point in time when the ATM withdrawal is processed.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96" w:lineRule="exact"/>
        <w:rPr>
          <w:sz w:val="20"/>
          <w:szCs w:val="20"/>
          <w:color w:val="auto"/>
        </w:rPr>
      </w:pPr>
    </w:p>
    <w:p>
      <w:pPr>
        <w:ind w:right="240" w:firstLine="509"/>
        <w:spacing w:after="0" w:line="259" w:lineRule="auto"/>
        <w:rPr>
          <w:sz w:val="20"/>
          <w:szCs w:val="20"/>
          <w:color w:val="auto"/>
        </w:rPr>
      </w:pPr>
      <w:r>
        <w:rPr>
          <w:rFonts w:ascii="Times New Roman" w:cs="Times New Roman" w:eastAsia="Times New Roman" w:hAnsi="Times New Roman"/>
          <w:sz w:val="14"/>
          <w:szCs w:val="14"/>
          <w:color w:val="auto"/>
        </w:rPr>
        <w:t>The other noninterest income revenue streams within the scope of Topic 606 consist of merchant services revenue, safe deposit box rentals, wire transfer fees, paper statement fees, check printing commissions, gain on sales of other real estate owned and other noninterest related fees. Revenue from the Company’s merchant services business consists principally of transaction and account management fees charged to merchants for the electronic processing of transactions. These fees are net of interchange fees paid to the credit card issuing bank, card company assessments, and revenue sharing amounts. Account management fees are considered earned at the time the merchant’s transactions are processed or other services are performed. Fees related to the other components of other noninterest income within the scope of Topic 606 are largely transactional based, and therefore, the Company’s performance obligation is satisfied and related revenue recognized, at the point in time the customer uses the selected service to execute a transaction.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ITEM 2 – MANAGEMENT’S DISCUSSION AND ANALYSIS OF FINANCIAL CONDITION AND RESULTS OF OPERATIONS</w:t>
      </w:r>
    </w:p>
    <w:p>
      <w:pPr>
        <w:spacing w:after="0" w:line="18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Management's discussion and analysis explains the significant factors affecting the Company's financial condition and results of operations as reflected in the unaudited consolidated balance sheet as of September 30, 2026, as compared to December 31, 2025, and unaudited consolidated operating results for the three and nine months ended September 30, 2026 and 2025. This discussion should be read in conjunction with the Company's unaudited consolidated financial statements and accompanying notes included in this Form 10-Q and the audited financial statements and accompanying notes provided in our Annual Report on Form 10-K for the year ended December 31, 2025, filed with the SEC on March 2, 2026.</w:t>
      </w:r>
    </w:p>
    <w:p>
      <w:pPr>
        <w:spacing w:after="0" w:line="14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 addition to the historical information contained herein, this Quarterly Report on Form 10-Q includes “forward-looking statements” within the meaning of such term under the Private Securities Litigation Reform Act of 1995. These statements are subject to many risks and uncertainties, including interest rates and other general economic, business and political conditions; the impact of federal trade policy, inflation, deposit volatility and potential regulatory developments; the performance of our loan portfolio and our ability to manage credit risk; changes in the financial markets; the effects of armed conflict, including the scope and duration of disruptions in global energy markets relating to war in the Middle East; changes in the business environment resulting from the adoption of artificial intelligence, including fraud and cybersecurity risk; operational risks, including with respect to fraud and information technology; changes in business plans as circumstances warrant; risks related to legal proceedings; risks related to mergers and acquisitions and the integration of acquired businesses; changes to U.S. and state tax laws, regulations and guidance; and other risks detailed from time to time in filings made by the Company with the SEC. Readers should note that the forward-looking statements included herein are not a guarantee of future events, and that actual events may differ materially from those made in or suggested by the forward-looking statements. Forward-looking statements generally can be identified by the use of forward-looking terminology such as “will,” "should," “propose,” “may,” “plan,” “seek,” “expect,” “intend,” “estimate,” “anticipate,” “believe,” “continue,” or similar terminology. Any forward-looking statements presented herein are made only as of the date of this document, and we do not undertake any obligation to update or revise any forward-looking statements to reflect changes in assumptions, the occurrence of unanticipated events, or otherwise</w:t>
      </w:r>
      <w:r>
        <w:rPr>
          <w:rFonts w:ascii="Times New Roman" w:cs="Times New Roman" w:eastAsia="Times New Roman" w:hAnsi="Times New Roman"/>
          <w:sz w:val="14"/>
          <w:szCs w:val="14"/>
          <w:i w:val="1"/>
          <w:iCs w:val="1"/>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preparation of our consolidated financial statements requires management to make estimates and judgments that affect the reported amounts of assets, liabilities, revenues and expenses. These estimates are based upon historical experience and on various other assumptions that management believes are reasonable under current circumstances. These estimates form the basis for making judgments about the carrying value of certain assets and liabilities that are not readily available from other sources. Actual results may differ from these estimates under different assumptions or conditions. The estimates and judgments that management believes have the greatest effect on the Company’s reported financial position and results of operations are set forth in “Note 1 – Summary of Significant Accounting Policies” of the Notes to Consolidated Financial Statements, included in our Annual Report on Form 10-K for the year ended December 31, 2025.</w:t>
      </w:r>
    </w:p>
    <w:p>
      <w:pPr>
        <w:spacing w:after="0" w:line="143"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critical accounting estimates, see the section titled “Critical Accounting Estimates” included in Item 7 of our Annual Report on Form 10-K for the year ended December 31, 2025. There have been no material changes in the Company’s application of critical accounting estimates since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on Loans</w:t>
      </w:r>
    </w:p>
    <w:p>
      <w:pPr>
        <w:spacing w:after="0" w:line="18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Management’s evaluation process used to determine the appropriateness of the allowance for credit losses on loans is subject to the use of estimates, assumptions, and judgments. The evaluation process combines many factors: management’s ongoing review and grading of the loan portfolio leveraging probability of default and loss given default, consideration of historical loan loss and delinquency experience, trends in past due and nonaccrual loans, risk characteristics of the various classifications of loans, concentrations of loans to specific borrowers or industries, existing economic conditions and forecasts, the fair value of underlying collateral, and other qualitative and quantitative factors which could affect future credit losses. Because current economic conditions and forecasts can change and future events are inherently difficult to predict, the anticipated amount of estimated credit losses on loans, and therefore the appropriateness of the allowance for credit losses on loans, could change significantly. It is difficult to estimate how potential changes in any one economic factor or input might affect the overall allowance because a wide variety of factors and inputs are considered in estimating the allowance and changes in those factors and inputs considered may not occur at the same rate and may not be consistent across all product types. Additionally, changes in factors and inputs may be directionally inconsistent, such that improvement in one factor may offset deterioration in others. As an integral part of their examination process, various regulatory agencies also review the allowance for credit losses on loans. Such agencies may require additions to the allowance for credit losses on loans or may require that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certain loan balances be charged-off or downgraded into criticized loan categories when their credit evaluations differ from those of management, based on their judgments about information available to them at the time of their examination. The Company believes the level of the allowance for credit losses on loans is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Comparability</w:t>
      </w:r>
    </w:p>
    <w:p>
      <w:pPr>
        <w:spacing w:after="0" w:line="96" w:lineRule="exact"/>
        <w:rPr>
          <w:sz w:val="20"/>
          <w:szCs w:val="20"/>
          <w:color w:val="auto"/>
        </w:rPr>
      </w:pPr>
    </w:p>
    <w:p>
      <w:pPr>
        <w:ind w:right="700" w:firstLine="509"/>
        <w:spacing w:after="0" w:line="287" w:lineRule="auto"/>
        <w:rPr>
          <w:sz w:val="20"/>
          <w:szCs w:val="20"/>
          <w:color w:val="auto"/>
        </w:rPr>
      </w:pPr>
      <w:r>
        <w:rPr>
          <w:rFonts w:ascii="Times New Roman" w:cs="Times New Roman" w:eastAsia="Times New Roman" w:hAnsi="Times New Roman"/>
          <w:sz w:val="14"/>
          <w:szCs w:val="14"/>
          <w:color w:val="auto"/>
        </w:rPr>
        <w:t>Each factor listed below affects the comparability of our results of operations for the three and nine months ended September 30, 2026 and 2025, and our financial condition as of September 30, 2026 and December 31, 2025, and may affect the comparability of financial information we report in future fiscal periods.</w:t>
      </w:r>
    </w:p>
    <w:p>
      <w:pPr>
        <w:spacing w:after="0" w:line="122" w:lineRule="exact"/>
        <w:rPr>
          <w:sz w:val="20"/>
          <w:szCs w:val="20"/>
          <w:color w:val="auto"/>
        </w:rPr>
      </w:pPr>
    </w:p>
    <w:p>
      <w:pPr>
        <w:ind w:right="22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Sale of equipment finance portfolio. </w:t>
      </w:r>
      <w:r>
        <w:rPr>
          <w:rFonts w:ascii="Times New Roman" w:cs="Times New Roman" w:eastAsia="Times New Roman" w:hAnsi="Times New Roman"/>
          <w:sz w:val="14"/>
          <w:szCs w:val="14"/>
          <w:color w:val="auto"/>
        </w:rPr>
        <w:t>During the fourth quarter of 2025, we sold substantially all of our equipment finance portfolio resulting in a loss on sale of $21.4 million. We ceased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originating new equipment finance loans and leases effective as of September 30, 2025.</w:t>
      </w:r>
    </w:p>
    <w:p>
      <w:pPr>
        <w:spacing w:after="0" w:line="12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of Subordinated Notes. </w:t>
      </w:r>
      <w:r>
        <w:rPr>
          <w:rFonts w:ascii="Times New Roman" w:cs="Times New Roman" w:eastAsia="Times New Roman" w:hAnsi="Times New Roman"/>
          <w:sz w:val="14"/>
          <w:szCs w:val="14"/>
          <w:color w:val="auto"/>
        </w:rPr>
        <w:t>On September 30, 2025, we redeemed all of our outstanding Fixed-to-Floating Rate Subordinated Notes due September 30, 2029, with an interest rate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7.91%, which had an aggregate principal amount of $50.8 million. The aggregate redemption price was 100% of the aggregate principal amount of the subordinated notes, plus accrued and unpaid interest.</w:t>
      </w:r>
    </w:p>
    <w:p>
      <w:pPr>
        <w:spacing w:after="0" w:line="13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impairment. </w:t>
      </w:r>
      <w:r>
        <w:rPr>
          <w:rFonts w:ascii="Times New Roman" w:cs="Times New Roman" w:eastAsia="Times New Roman" w:hAnsi="Times New Roman"/>
          <w:sz w:val="14"/>
          <w:szCs w:val="14"/>
          <w:color w:val="auto"/>
        </w:rPr>
        <w:t>During the first quarter of 2025, we determined that a triggering event had occurred at our Banking reporting unit as a result of further deteriorated credit quality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coupled with trends in our stock price. We performed a quantitative impairment test on our Banking reporting unit as of March 31, 2025 and engaged a third-party service provider to assist management with the determination of the fair value. The resulting calculation indicated that the carrying amount exceeded the fair value of our Banking reporting unit. As a result of the assessment, we recognized $154.0 million of goodwill impairment expense. The impairment expense did not impact our regulatory capital ratios, tangible common equity ratio or our liquidity position.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12529"/>
        </w:rPr>
        <w:t xml:space="preserve">Overview. </w:t>
      </w:r>
      <w:r>
        <w:rPr>
          <w:rFonts w:ascii="Times New Roman" w:cs="Times New Roman" w:eastAsia="Times New Roman" w:hAnsi="Times New Roman"/>
          <w:sz w:val="14"/>
          <w:szCs w:val="14"/>
          <w:color w:val="000000"/>
        </w:rPr>
        <w:t>The following table sets forth condensed income statement information of the Company for the three and nine months ended September 30,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3"/>
                <w:szCs w:val="13"/>
                <w:color w:val="auto"/>
              </w:rPr>
            </w:pPr>
          </w:p>
        </w:tc>
        <w:tc>
          <w:tcPr>
            <w:tcW w:w="2720" w:type="dxa"/>
            <w:vAlign w:val="bottom"/>
            <w:gridSpan w:val="4"/>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 except per share data)</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4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income</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93,021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98,493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267,220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295,772</w:t>
            </w:r>
          </w:p>
        </w:tc>
        <w:tc>
          <w:tcPr>
            <w:tcW w:w="0" w:type="dxa"/>
            <w:vAlign w:val="bottom"/>
          </w:tcPr>
          <w:p>
            <w:pPr>
              <w:spacing w:after="0"/>
              <w:rPr>
                <w:sz w:val="1"/>
                <w:szCs w:val="1"/>
                <w:color w:val="auto"/>
              </w:rPr>
            </w:pPr>
          </w:p>
        </w:tc>
      </w:tr>
      <w:tr>
        <w:trPr>
          <w:trHeight w:val="16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30,299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37,376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87,492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117,670</w:t>
            </w: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62,722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61,117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179,728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178,102</w:t>
            </w:r>
          </w:p>
        </w:tc>
        <w:tc>
          <w:tcPr>
            <w:tcW w:w="0" w:type="dxa"/>
            <w:vAlign w:val="bottom"/>
          </w:tcPr>
          <w:p>
            <w:pPr>
              <w:spacing w:after="0"/>
              <w:rPr>
                <w:sz w:val="1"/>
                <w:szCs w:val="1"/>
                <w:color w:val="auto"/>
              </w:rPr>
            </w:pP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360" w:type="dxa"/>
            <w:vAlign w:val="bottom"/>
          </w:tcPr>
          <w:p>
            <w:pPr>
              <w:spacing w:after="0"/>
              <w:rPr>
                <w:sz w:val="13"/>
                <w:szCs w:val="13"/>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3,735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20,005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15,557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48,224</w:t>
            </w:r>
          </w:p>
        </w:tc>
        <w:tc>
          <w:tcPr>
            <w:tcW w:w="0" w:type="dxa"/>
            <w:vAlign w:val="bottom"/>
          </w:tcPr>
          <w:p>
            <w:pPr>
              <w:spacing w:after="0"/>
              <w:rPr>
                <w:sz w:val="1"/>
                <w:szCs w:val="1"/>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 income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23,237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20,016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69,127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61,313</w:t>
            </w:r>
          </w:p>
        </w:tc>
        <w:tc>
          <w:tcPr>
            <w:tcW w:w="0" w:type="dxa"/>
            <w:vAlign w:val="bottom"/>
          </w:tcPr>
          <w:p>
            <w:pPr>
              <w:spacing w:after="0"/>
              <w:rPr>
                <w:sz w:val="1"/>
                <w:szCs w:val="1"/>
                <w:color w:val="auto"/>
              </w:rPr>
            </w:pPr>
          </w:p>
        </w:tc>
      </w:tr>
      <w:tr>
        <w:trPr>
          <w:trHeight w:val="16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Noninterest expense</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52,843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49,814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154,022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302,811</w:t>
            </w: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29,381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11,314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79,276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(111,620)</w:t>
            </w:r>
          </w:p>
        </w:tc>
        <w:tc>
          <w:tcPr>
            <w:tcW w:w="0" w:type="dxa"/>
            <w:vAlign w:val="bottom"/>
          </w:tcPr>
          <w:p>
            <w:pPr>
              <w:spacing w:after="0"/>
              <w:rPr>
                <w:sz w:val="1"/>
                <w:szCs w:val="1"/>
                <w:color w:val="auto"/>
              </w:rPr>
            </w:pPr>
          </w:p>
        </w:tc>
      </w:tr>
      <w:tr>
        <w:trPr>
          <w:trHeight w:val="16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6,573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3,757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18,117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9,773</w:t>
            </w: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22,808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7,557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61,159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(121,393)</w:t>
            </w:r>
          </w:p>
        </w:tc>
        <w:tc>
          <w:tcPr>
            <w:tcW w:w="0" w:type="dxa"/>
            <w:vAlign w:val="bottom"/>
          </w:tcPr>
          <w:p>
            <w:pPr>
              <w:spacing w:after="0"/>
              <w:rPr>
                <w:sz w:val="1"/>
                <w:szCs w:val="1"/>
                <w:color w:val="auto"/>
              </w:rPr>
            </w:pPr>
          </w:p>
        </w:tc>
      </w:tr>
      <w:tr>
        <w:trPr>
          <w:trHeight w:val="160"/>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Preferred dividends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2,229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2,229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6,685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6,685</w:t>
            </w:r>
          </w:p>
        </w:tc>
        <w:tc>
          <w:tcPr>
            <w:tcW w:w="0" w:type="dxa"/>
            <w:vAlign w:val="bottom"/>
          </w:tcPr>
          <w:p>
            <w:pPr>
              <w:spacing w:after="0"/>
              <w:rPr>
                <w:sz w:val="1"/>
                <w:szCs w:val="1"/>
                <w:color w:val="auto"/>
              </w:rPr>
            </w:pPr>
          </w:p>
        </w:tc>
      </w:tr>
      <w:tr>
        <w:trPr>
          <w:trHeight w:val="185"/>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 available to common shareholders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20,579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5,328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54,474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(128,078)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0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Basic earnings (loss) per common share</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0.24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Diluted earnings (loss) per common share</w:t>
            </w: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0.24</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2.51</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(5.88)</w:t>
            </w:r>
          </w:p>
        </w:tc>
        <w:tc>
          <w:tcPr>
            <w:tcW w:w="0" w:type="dxa"/>
            <w:vAlign w:val="bottom"/>
          </w:tcPr>
          <w:p>
            <w:pPr>
              <w:spacing w:after="0"/>
              <w:rPr>
                <w:sz w:val="1"/>
                <w:szCs w:val="1"/>
                <w:color w:val="auto"/>
              </w:rPr>
            </w:pPr>
          </w:p>
        </w:tc>
      </w:tr>
      <w:tr>
        <w:trPr>
          <w:trHeight w:val="17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Metrics: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Return on average assets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0.43 %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0" w:type="dxa"/>
            <w:vAlign w:val="bottom"/>
          </w:tcPr>
          <w:p>
            <w:pPr>
              <w:spacing w:after="0"/>
              <w:rPr>
                <w:sz w:val="1"/>
                <w:szCs w:val="1"/>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Return on average shareholders' equity</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15.96 %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14.45 %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(26.14)%</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Net income available to common shareholders for the </w:t>
      </w:r>
      <w:r>
        <w:rPr>
          <w:rFonts w:ascii="Times New Roman" w:cs="Times New Roman" w:eastAsia="Times New Roman" w:hAnsi="Times New Roman"/>
          <w:sz w:val="14"/>
          <w:szCs w:val="14"/>
          <w:color w:val="000000"/>
        </w:rPr>
        <w:t>third</w:t>
      </w:r>
      <w:r>
        <w:rPr>
          <w:rFonts w:ascii="Times New Roman" w:cs="Times New Roman" w:eastAsia="Times New Roman" w:hAnsi="Times New Roman"/>
          <w:sz w:val="14"/>
          <w:szCs w:val="14"/>
          <w:color w:val="212529"/>
        </w:rPr>
        <w:t xml:space="preserve"> quarter of </w:t>
      </w:r>
      <w:r>
        <w:rPr>
          <w:rFonts w:ascii="Times New Roman" w:cs="Times New Roman" w:eastAsia="Times New Roman" w:hAnsi="Times New Roman"/>
          <w:sz w:val="14"/>
          <w:szCs w:val="14"/>
          <w:color w:val="000000"/>
        </w:rPr>
        <w:t>2026 was</w:t>
      </w:r>
      <w:r>
        <w:rPr>
          <w:rFonts w:ascii="Times New Roman" w:cs="Times New Roman" w:eastAsia="Times New Roman" w:hAnsi="Times New Roman"/>
          <w:sz w:val="14"/>
          <w:szCs w:val="14"/>
          <w:color w:val="212529"/>
        </w:rPr>
        <w:t xml:space="preserve"> $20.6 million, or $0.95 per diluted common share, compared to net income available to common shareholders of $5.3 million, or $0.24 per diluted common share, in the </w:t>
      </w:r>
      <w:r>
        <w:rPr>
          <w:rFonts w:ascii="Times New Roman" w:cs="Times New Roman" w:eastAsia="Times New Roman" w:hAnsi="Times New Roman"/>
          <w:sz w:val="14"/>
          <w:szCs w:val="14"/>
          <w:color w:val="000000"/>
        </w:rPr>
        <w:t>third</w:t>
      </w:r>
      <w:r>
        <w:rPr>
          <w:rFonts w:ascii="Times New Roman" w:cs="Times New Roman" w:eastAsia="Times New Roman" w:hAnsi="Times New Roman"/>
          <w:sz w:val="14"/>
          <w:szCs w:val="14"/>
          <w:color w:val="212529"/>
        </w:rPr>
        <w:t xml:space="preserve"> quarter of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xml:space="preserve">. The increase reflected a $1.6 million </w:t>
      </w:r>
      <w:r>
        <w:rPr>
          <w:rFonts w:ascii="Times New Roman" w:cs="Times New Roman" w:eastAsia="Times New Roman" w:hAnsi="Times New Roman"/>
          <w:sz w:val="14"/>
          <w:szCs w:val="14"/>
          <w:color w:val="000000"/>
        </w:rPr>
        <w:t>increase in net interest income,</w:t>
      </w:r>
      <w:r>
        <w:rPr>
          <w:rFonts w:ascii="Times New Roman" w:cs="Times New Roman" w:eastAsia="Times New Roman" w:hAnsi="Times New Roman"/>
          <w:sz w:val="14"/>
          <w:szCs w:val="14"/>
          <w:color w:val="212529"/>
        </w:rPr>
        <w:t xml:space="preserve"> a $16.3 million decrease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212529"/>
        </w:rPr>
        <w:t xml:space="preserve">provision for credit losses, and a $3.2 million increase in noninterest income. These benefits were partially offset by a $3.0 million increase in noninterest expense and a $2.8 million </w:t>
      </w:r>
      <w:r>
        <w:rPr>
          <w:rFonts w:ascii="Times New Roman" w:cs="Times New Roman" w:eastAsia="Times New Roman" w:hAnsi="Times New Roman"/>
          <w:sz w:val="14"/>
          <w:szCs w:val="14"/>
          <w:color w:val="000000"/>
        </w:rPr>
        <w:t>increase</w:t>
      </w:r>
      <w:r>
        <w:rPr>
          <w:rFonts w:ascii="Times New Roman" w:cs="Times New Roman" w:eastAsia="Times New Roman" w:hAnsi="Times New Roman"/>
          <w:sz w:val="14"/>
          <w:szCs w:val="14"/>
          <w:color w:val="212529"/>
        </w:rPr>
        <w:t xml:space="preserve"> in income tax expense.</w:t>
      </w:r>
    </w:p>
    <w:p>
      <w:pPr>
        <w:spacing w:after="0" w:line="12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212529"/>
        </w:rPr>
        <w:t xml:space="preserve">Net income available to common shareholders for the </w:t>
      </w:r>
      <w:r>
        <w:rPr>
          <w:rFonts w:ascii="Times New Roman" w:cs="Times New Roman" w:eastAsia="Times New Roman" w:hAnsi="Times New Roman"/>
          <w:sz w:val="14"/>
          <w:szCs w:val="14"/>
          <w:color w:val="000000"/>
        </w:rPr>
        <w:t>first nine months of 2026 was</w:t>
      </w:r>
      <w:r>
        <w:rPr>
          <w:rFonts w:ascii="Times New Roman" w:cs="Times New Roman" w:eastAsia="Times New Roman" w:hAnsi="Times New Roman"/>
          <w:sz w:val="14"/>
          <w:szCs w:val="14"/>
          <w:color w:val="212529"/>
        </w:rPr>
        <w:t xml:space="preserve"> $54.5 million, or $2.51 per diluted common share, compared with a net loss available to common shareholders of $128.1 million, or a diluted loss per common share of $5.88, in the </w:t>
      </w:r>
      <w:r>
        <w:rPr>
          <w:rFonts w:ascii="Times New Roman" w:cs="Times New Roman" w:eastAsia="Times New Roman" w:hAnsi="Times New Roman"/>
          <w:sz w:val="14"/>
          <w:szCs w:val="14"/>
          <w:color w:val="000000"/>
        </w:rPr>
        <w:t>first nine months of 2025</w:t>
      </w:r>
      <w:r>
        <w:rPr>
          <w:rFonts w:ascii="Times New Roman" w:cs="Times New Roman" w:eastAsia="Times New Roman" w:hAnsi="Times New Roman"/>
          <w:sz w:val="14"/>
          <w:szCs w:val="14"/>
          <w:color w:val="212529"/>
        </w:rPr>
        <w:t xml:space="preserve">. The increase reflected a $148.8 million decrease in noninterest expense (which included the prior year goodwill impairment charge), a $1.6 million </w:t>
      </w:r>
      <w:r>
        <w:rPr>
          <w:rFonts w:ascii="Times New Roman" w:cs="Times New Roman" w:eastAsia="Times New Roman" w:hAnsi="Times New Roman"/>
          <w:sz w:val="14"/>
          <w:szCs w:val="14"/>
          <w:color w:val="000000"/>
        </w:rPr>
        <w:t>increase</w:t>
      </w:r>
      <w:r>
        <w:rPr>
          <w:rFonts w:ascii="Times New Roman" w:cs="Times New Roman" w:eastAsia="Times New Roman" w:hAnsi="Times New Roman"/>
          <w:sz w:val="14"/>
          <w:szCs w:val="14"/>
          <w:color w:val="212529"/>
        </w:rPr>
        <w:t xml:space="preserve"> in net interest income, a $32.7 million decrease in provision for credit losses, and a $7.8 million increase in noninterest income. These benefits were partially offset by an $8.3 million increase in income tax expense.</w:t>
      </w:r>
    </w:p>
    <w:p>
      <w:pPr>
        <w:spacing w:after="0" w:line="13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Interest Income and Margin. </w:t>
      </w:r>
      <w:r>
        <w:rPr>
          <w:rFonts w:ascii="Times New Roman" w:cs="Times New Roman" w:eastAsia="Times New Roman" w:hAnsi="Times New Roman"/>
          <w:sz w:val="14"/>
          <w:szCs w:val="14"/>
          <w:color w:val="auto"/>
        </w:rPr>
        <w:t>Our primary source of revenue is net interest income, which is the difference between interest income from interest-earning assets (primarily loans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and interest expense of funding sources (primarily interest-bearing deposits and borrowings). Net interest income is influenced by many factors, primarily the volume and mix of interest-earning assets, funding sources and interest rate fluctuations. Noninterest-bearing sources of funds, such as demand deposits and shareholders’ equity, also support interest-earning assets. Net interest margin is calculated as net interest income divided by average interest-earning assets. Net interest margin is presented on a tax-equivalent basis, which means that tax-free interest income has been adjusted to a pretax-equivalent income, assuming a federal income tax rate of 21% for both 2026 and 2025.</w:t>
      </w:r>
    </w:p>
    <w:p>
      <w:pPr>
        <w:spacing w:after="0" w:line="14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 xml:space="preserve">During the third </w:t>
      </w:r>
      <w:r>
        <w:rPr>
          <w:rFonts w:ascii="Times New Roman" w:cs="Times New Roman" w:eastAsia="Times New Roman" w:hAnsi="Times New Roman"/>
          <w:sz w:val="14"/>
          <w:szCs w:val="14"/>
          <w:color w:val="212529"/>
        </w:rPr>
        <w:t>quarter of</w:t>
      </w:r>
      <w:r>
        <w:rPr>
          <w:rFonts w:ascii="Times New Roman" w:cs="Times New Roman" w:eastAsia="Times New Roman" w:hAnsi="Times New Roman"/>
          <w:sz w:val="14"/>
          <w:szCs w:val="14"/>
          <w:color w:val="auto"/>
        </w:rPr>
        <w:t xml:space="preserve"> 2026, the Federal Reserve increased the target range for the federal funds rate by 25 basis points from 3.75% to 4.00%. At its October 2026 meeting, the Federal Reserve maintained the target range at 3.75% to 4.00%, citing continued elevated inflation. These actions followed three 25-basis-point rate reductions in September, October and December 2025. The FOMC has continued to assess incoming economic data, the evolving economic outlook and the balance of risks in determining the appropriate stance of monetary policy. The future path of interest rates remains uncertain and will continue to influence loan and deposit repricing, funding costs, and the Company's net interest income and net interest margin.</w:t>
      </w:r>
    </w:p>
    <w:p>
      <w:pPr>
        <w:spacing w:after="0" w:line="14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For the third </w:t>
      </w:r>
      <w:r>
        <w:rPr>
          <w:rFonts w:ascii="Times New Roman" w:cs="Times New Roman" w:eastAsia="Times New Roman" w:hAnsi="Times New Roman"/>
          <w:sz w:val="14"/>
          <w:szCs w:val="14"/>
          <w:color w:val="212529"/>
        </w:rPr>
        <w:t>quarter of</w:t>
      </w:r>
      <w:r>
        <w:rPr>
          <w:rFonts w:ascii="Times New Roman" w:cs="Times New Roman" w:eastAsia="Times New Roman" w:hAnsi="Times New Roman"/>
          <w:sz w:val="14"/>
          <w:szCs w:val="14"/>
          <w:color w:val="auto"/>
        </w:rPr>
        <w:t xml:space="preserve"> 2026, net interest income, on a tax-equivalent basis, increased $1.6 million to $62.9 million, and tax-equivalent net interest margin increased 24 basis points to 4.03% compared to the third quarter of 2025.</w:t>
      </w:r>
    </w:p>
    <w:p>
      <w:pPr>
        <w:spacing w:after="0" w:line="124"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For the </w:t>
      </w:r>
      <w:r>
        <w:rPr>
          <w:rFonts w:ascii="Times New Roman" w:cs="Times New Roman" w:eastAsia="Times New Roman" w:hAnsi="Times New Roman"/>
          <w:sz w:val="14"/>
          <w:szCs w:val="14"/>
          <w:color w:val="000000"/>
        </w:rPr>
        <w:t>first nine months of 2026, net interest income, on a tax-equivalent basis, increased $1.6 million to $180.4 million, and tax-equivalent net interest margin increased 36 basis points to</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3.97% compared to </w:t>
      </w:r>
      <w:r>
        <w:rPr>
          <w:rFonts w:ascii="Times New Roman" w:cs="Times New Roman" w:eastAsia="Times New Roman" w:hAnsi="Times New Roman"/>
          <w:sz w:val="14"/>
          <w:szCs w:val="14"/>
          <w:color w:val="212529"/>
        </w:rPr>
        <w:t>the</w:t>
      </w:r>
      <w:r>
        <w:rPr>
          <w:rFonts w:ascii="Times New Roman" w:cs="Times New Roman" w:eastAsia="Times New Roman" w:hAnsi="Times New Roman"/>
          <w:sz w:val="14"/>
          <w:szCs w:val="14"/>
          <w:color w:val="000000"/>
        </w:rPr>
        <w:t xml:space="preserve"> first nine months of 2025.</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The following table presents average balances, interest income and expense and the corresponding average yields earned and rates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paid for the three and nine months ended September 30, 2026 </w:t>
      </w:r>
      <w:r>
        <w:rPr>
          <w:rFonts w:ascii="Times New Roman" w:cs="Times New Roman" w:eastAsia="Times New Roman" w:hAnsi="Times New Roman"/>
          <w:sz w:val="14"/>
          <w:szCs w:val="14"/>
          <w:color w:val="212529"/>
        </w:rPr>
        <w:t>and</w:t>
      </w:r>
      <w:r>
        <w:rPr>
          <w:rFonts w:ascii="Times New Roman" w:cs="Times New Roman" w:eastAsia="Times New Roman" w:hAnsi="Times New Roman"/>
          <w:sz w:val="14"/>
          <w:szCs w:val="14"/>
          <w:color w:val="auto"/>
        </w:rPr>
        <w:t xml:space="preserve"> 2025. Average balances are principally daily averages and, for loans, include both performing and nonperforming balances. Interest income on loans includes the effects of discount accretion and net deferred loan origination costs accounted for as yield adjustments.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(tax-equivalent basis, dollars in thousands)</w:t>
            </w:r>
          </w:p>
        </w:tc>
        <w:tc>
          <w:tcPr>
            <w:tcW w:w="200" w:type="dxa"/>
            <w:vAlign w:val="bottom"/>
          </w:tcPr>
          <w:p>
            <w:pPr>
              <w:spacing w:after="0"/>
              <w:rPr>
                <w:sz w:val="10"/>
                <w:szCs w:val="10"/>
                <w:color w:val="auto"/>
              </w:rPr>
            </w:pPr>
          </w:p>
        </w:tc>
        <w:tc>
          <w:tcPr>
            <w:tcW w:w="94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740" w:type="dxa"/>
            <w:vAlign w:val="bottom"/>
          </w:tcPr>
          <w:p>
            <w:pPr>
              <w:jc w:val="right"/>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Yield/</w:t>
            </w:r>
          </w:p>
        </w:tc>
        <w:tc>
          <w:tcPr>
            <w:tcW w:w="200" w:type="dxa"/>
            <w:vAlign w:val="bottom"/>
          </w:tcPr>
          <w:p>
            <w:pPr>
              <w:spacing w:after="0"/>
              <w:rPr>
                <w:sz w:val="10"/>
                <w:szCs w:val="10"/>
                <w:color w:val="auto"/>
              </w:rPr>
            </w:pPr>
          </w:p>
        </w:tc>
        <w:tc>
          <w:tcPr>
            <w:tcW w:w="94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740" w:type="dxa"/>
            <w:vAlign w:val="bottom"/>
          </w:tcPr>
          <w:p>
            <w:pPr>
              <w:jc w:val="right"/>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Yield/</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80" w:type="dxa"/>
            <w:vAlign w:val="bottom"/>
          </w:tcPr>
          <w:p>
            <w:pPr>
              <w:spacing w:after="0"/>
              <w:rPr>
                <w:sz w:val="13"/>
                <w:szCs w:val="13"/>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&amp; fees</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8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&amp; fees</w:t>
            </w: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6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funds sold and cash investments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149,088</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w w:val="97"/>
              </w:rPr>
              <w:t>3.55 %</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78,567</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7"/>
              </w:rPr>
              <w:t>4.29 %</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Investment securities</w:t>
            </w: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Taxable investment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1,721,118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21,539</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1,280,236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line="183" w:lineRule="exact"/>
              <w:rPr>
                <w:sz w:val="20"/>
                <w:szCs w:val="20"/>
                <w:color w:val="auto"/>
              </w:rPr>
            </w:pPr>
            <w:r>
              <w:rPr>
                <w:rFonts w:ascii="Times New Roman" w:cs="Times New Roman" w:eastAsia="Times New Roman" w:hAnsi="Times New Roman"/>
                <w:sz w:val="13"/>
                <w:szCs w:val="13"/>
                <w:color w:val="auto"/>
              </w:rPr>
              <w:t xml:space="preserve">Investment securities exempt from federal income tax </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58,761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3.79</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1,780,505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22,090</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1,338,997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15,979</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6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Loans</w:t>
            </w: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Loans </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4,198,211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68,760</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4,907,695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80,583</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6.51</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Loans exempt from federal income tax </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39,980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4,235,207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69,173</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4,947,675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81,012</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 held for sale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6.29</w:t>
            </w: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Nonmarketable equity securities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7.36</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6,200,069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93,223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6,413,066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98,702</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5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Noninterest-earning assets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495,446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498,875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6,695,515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6,911,941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Checking and money market deposits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3,426,795</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20,026</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w w:val="97"/>
              </w:rPr>
              <w:t>2.32 %</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3,246,845</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22,264</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7"/>
              </w:rPr>
              <w:t>2.72 %</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Savings 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592,626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0.79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Time deposits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4,836</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6,712</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Brokered time deposits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4.21</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4,720,701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26,251</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4,644,455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30,219</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78"/>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386,772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4,044</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Subordinated debt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7.16</w:t>
            </w: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Trust preferred debentures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9.39</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5,063,325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30,299</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5,214,878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37,376</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58"/>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Noninterest-bearing liabilities: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989,768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noninterest-bearing liabilities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100,436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noninterest-bearing liabilities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1,065,208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1,120,632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566,982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576,431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6,695,515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6,911,941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Net interest income / net interest margin </w:t>
            </w:r>
            <w:r>
              <w:rPr>
                <w:rFonts w:ascii="Times New Roman" w:cs="Times New Roman" w:eastAsia="Times New Roman" w:hAnsi="Times New Roman"/>
                <w:sz w:val="16"/>
                <w:szCs w:val="16"/>
                <w:color w:val="auto"/>
                <w:vertAlign w:val="superscript"/>
              </w:rPr>
              <w:t>(3)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62,924</w:t>
            </w:r>
          </w:p>
        </w:tc>
        <w:tc>
          <w:tcPr>
            <w:tcW w:w="104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w w:val="97"/>
              </w:rPr>
              <w:t>4.03 %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61,326</w:t>
            </w:r>
          </w:p>
        </w:tc>
        <w:tc>
          <w:tcPr>
            <w:tcW w:w="1060" w:type="dxa"/>
            <w:vAlign w:val="bottom"/>
            <w:tcBorders>
              <w:top w:val="single" w:sz="8" w:color="CCEEFF"/>
              <w:bottom w:val="single" w:sz="8" w:color="CCEEFF"/>
            </w:tcBorders>
            <w:gridSpan w:val="2"/>
            <w:vMerge w:val="restart"/>
          </w:tcPr>
          <w:p>
            <w:pPr>
              <w:ind w:left="680"/>
              <w:spacing w:after="0"/>
              <w:rPr>
                <w:sz w:val="20"/>
                <w:szCs w:val="20"/>
                <w:color w:val="auto"/>
              </w:rPr>
            </w:pPr>
            <w:r>
              <w:rPr>
                <w:rFonts w:ascii="Times New Roman" w:cs="Times New Roman" w:eastAsia="Times New Roman" w:hAnsi="Times New Roman"/>
                <w:sz w:val="13"/>
                <w:szCs w:val="13"/>
                <w:color w:val="auto"/>
                <w:w w:val="97"/>
              </w:rPr>
              <w:t>3.79 %</w:t>
            </w:r>
          </w:p>
        </w:tc>
        <w:tc>
          <w:tcPr>
            <w:tcW w:w="0" w:type="dxa"/>
            <w:vAlign w:val="bottom"/>
          </w:tcPr>
          <w:p>
            <w:pPr>
              <w:spacing w:after="0" w:line="20" w:lineRule="exact"/>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right="460" w:hanging="255"/>
        <w:spacing w:after="0" w:line="260" w:lineRule="auto"/>
        <w:tabs>
          <w:tab w:leader="none" w:pos="254"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and average rates for tax-exempt loans and securities are presented on a tax-equivalent basis, assuming a federal income tax rate of 21%. Tax-equivalent adjustments totaled $0.2 million for both the three months ended September 30, 2026 and 2025, respectively.</w:t>
      </w: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amortization of deferred loan fees, net of deferred loan costs.</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during the periods presented represents: (i) the difference between interest income on interest-earning assets and the interest expense on interest-bearing liabilities, divided by (ii) average interest-earning assets for the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(tax-equivalent basis, dollars in thousands)</w:t>
            </w:r>
          </w:p>
        </w:tc>
        <w:tc>
          <w:tcPr>
            <w:tcW w:w="200" w:type="dxa"/>
            <w:vAlign w:val="bottom"/>
          </w:tcPr>
          <w:p>
            <w:pPr>
              <w:spacing w:after="0"/>
              <w:rPr>
                <w:sz w:val="10"/>
                <w:szCs w:val="10"/>
                <w:color w:val="auto"/>
              </w:rPr>
            </w:pPr>
          </w:p>
        </w:tc>
        <w:tc>
          <w:tcPr>
            <w:tcW w:w="94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740" w:type="dxa"/>
            <w:vAlign w:val="bottom"/>
          </w:tcPr>
          <w:p>
            <w:pPr>
              <w:jc w:val="right"/>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Yield/</w:t>
            </w:r>
          </w:p>
        </w:tc>
        <w:tc>
          <w:tcPr>
            <w:tcW w:w="200" w:type="dxa"/>
            <w:vAlign w:val="bottom"/>
          </w:tcPr>
          <w:p>
            <w:pPr>
              <w:spacing w:after="0"/>
              <w:rPr>
                <w:sz w:val="10"/>
                <w:szCs w:val="10"/>
                <w:color w:val="auto"/>
              </w:rPr>
            </w:pPr>
          </w:p>
        </w:tc>
        <w:tc>
          <w:tcPr>
            <w:tcW w:w="94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740" w:type="dxa"/>
            <w:vAlign w:val="bottom"/>
          </w:tcPr>
          <w:p>
            <w:pPr>
              <w:jc w:val="right"/>
              <w:ind w:right="217"/>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Yield/</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80" w:type="dxa"/>
            <w:vAlign w:val="bottom"/>
          </w:tcPr>
          <w:p>
            <w:pPr>
              <w:spacing w:after="0"/>
              <w:rPr>
                <w:sz w:val="13"/>
                <w:szCs w:val="13"/>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&amp; fees</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8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&amp; fees</w:t>
            </w: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6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funds sold and cash investments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115,771</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w w:val="97"/>
              </w:rPr>
              <w:t>3.61 %</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71,558</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7"/>
              </w:rPr>
              <w:t>4.27 %</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Investment securities</w:t>
            </w: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Taxable investment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1,603,788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58,678</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1,281,441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47,011</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4.90</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line="183" w:lineRule="exact"/>
              <w:rPr>
                <w:sz w:val="20"/>
                <w:szCs w:val="20"/>
                <w:color w:val="auto"/>
              </w:rPr>
            </w:pPr>
            <w:r>
              <w:rPr>
                <w:rFonts w:ascii="Times New Roman" w:cs="Times New Roman" w:eastAsia="Times New Roman" w:hAnsi="Times New Roman"/>
                <w:sz w:val="13"/>
                <w:szCs w:val="13"/>
                <w:color w:val="auto"/>
              </w:rPr>
              <w:t xml:space="preserve">Investment securities exempt from federal income tax </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60,372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1,664,160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60,332</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1,339,454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48,660</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4.86</w:t>
            </w:r>
          </w:p>
        </w:tc>
        <w:tc>
          <w:tcPr>
            <w:tcW w:w="0" w:type="dxa"/>
            <w:vAlign w:val="bottom"/>
          </w:tcPr>
          <w:p>
            <w:pPr>
              <w:spacing w:after="0"/>
              <w:rPr>
                <w:sz w:val="1"/>
                <w:szCs w:val="1"/>
                <w:color w:val="auto"/>
              </w:rPr>
            </w:pPr>
          </w:p>
        </w:tc>
      </w:tr>
      <w:tr>
        <w:trPr>
          <w:trHeight w:val="16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Loans</w:t>
            </w: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Loans </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4,213,261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201,080</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4,994,619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236,765</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6.34</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Loans exempt from federal income tax </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47,746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69"/>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4,252,495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202,412</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5,042,365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238,370</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6.32</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 held for sale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5.41</w:t>
            </w: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Nonmarketable equity securities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2,056</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7.30</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6,069,889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267,847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6,616,745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296,456</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15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Noninterest-earning assets</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495,778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559,587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6,565,667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7,176,332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Checking and money market deposits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3,281,866</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56,525</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w w:val="97"/>
              </w:rPr>
              <w:t>2.30 %</w:t>
            </w:r>
          </w:p>
        </w:tc>
        <w:tc>
          <w:tcPr>
            <w:tcW w:w="1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3,365,833</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70,942</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7"/>
              </w:rPr>
              <w:t>2.82 %</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Savings 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540,382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0.53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510,199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78"/>
        </w:trPr>
        <w:tc>
          <w:tcPr>
            <w:tcW w:w="4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Time deposits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707,591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15,566</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818,658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20,245</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Brokered time deposits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158,998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4,964</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4.17</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4,555,570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74,980</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4,853,688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97,124</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78"/>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7,184</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10,973</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Subordinated debt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4,174</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Trust preferred debentures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10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3"/>
                <w:szCs w:val="13"/>
                <w:color w:val="auto"/>
              </w:rPr>
              <w:t>9.43</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4,917,078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87,492</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5,395,810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117,670</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2.92</w:t>
            </w:r>
          </w:p>
        </w:tc>
        <w:tc>
          <w:tcPr>
            <w:tcW w:w="0" w:type="dxa"/>
            <w:vAlign w:val="bottom"/>
          </w:tcPr>
          <w:p>
            <w:pPr>
              <w:spacing w:after="0"/>
              <w:rPr>
                <w:sz w:val="1"/>
                <w:szCs w:val="1"/>
                <w:color w:val="auto"/>
              </w:rPr>
            </w:pPr>
          </w:p>
        </w:tc>
      </w:tr>
      <w:tr>
        <w:trPr>
          <w:trHeight w:val="158"/>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Noninterest-bearing liabilities: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999,984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1,048,753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noninterest-bearing liabilities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noninterest-bearing liabilities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1,082,526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1,159,624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566,063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620,898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6,565,667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7,176,332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Net interest income / net interest margin </w:t>
            </w:r>
            <w:r>
              <w:rPr>
                <w:rFonts w:ascii="Times New Roman" w:cs="Times New Roman" w:eastAsia="Times New Roman" w:hAnsi="Times New Roman"/>
                <w:sz w:val="16"/>
                <w:szCs w:val="16"/>
                <w:color w:val="auto"/>
                <w:vertAlign w:val="superscript"/>
              </w:rPr>
              <w:t>(3)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180,355</w:t>
            </w:r>
          </w:p>
        </w:tc>
        <w:tc>
          <w:tcPr>
            <w:tcW w:w="104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w w:val="97"/>
              </w:rPr>
              <w:t>3.97 %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178,786</w:t>
            </w:r>
          </w:p>
        </w:tc>
        <w:tc>
          <w:tcPr>
            <w:tcW w:w="1060" w:type="dxa"/>
            <w:vAlign w:val="bottom"/>
            <w:tcBorders>
              <w:top w:val="single" w:sz="8" w:color="CCEEFF"/>
              <w:bottom w:val="single" w:sz="8" w:color="CCEEFF"/>
            </w:tcBorders>
            <w:gridSpan w:val="2"/>
            <w:vMerge w:val="restart"/>
          </w:tcPr>
          <w:p>
            <w:pPr>
              <w:ind w:left="680"/>
              <w:spacing w:after="0"/>
              <w:rPr>
                <w:sz w:val="20"/>
                <w:szCs w:val="20"/>
                <w:color w:val="auto"/>
              </w:rPr>
            </w:pPr>
            <w:r>
              <w:rPr>
                <w:rFonts w:ascii="Times New Roman" w:cs="Times New Roman" w:eastAsia="Times New Roman" w:hAnsi="Times New Roman"/>
                <w:sz w:val="13"/>
                <w:szCs w:val="13"/>
                <w:color w:val="auto"/>
                <w:w w:val="97"/>
              </w:rPr>
              <w:t>3.61 %</w:t>
            </w:r>
          </w:p>
        </w:tc>
        <w:tc>
          <w:tcPr>
            <w:tcW w:w="0" w:type="dxa"/>
            <w:vAlign w:val="bottom"/>
          </w:tcPr>
          <w:p>
            <w:pPr>
              <w:spacing w:after="0" w:line="20" w:lineRule="exact"/>
              <w:rPr>
                <w:sz w:val="1"/>
                <w:szCs w:val="1"/>
                <w:color w:val="auto"/>
              </w:rPr>
            </w:pPr>
          </w:p>
        </w:tc>
      </w:tr>
      <w:tr>
        <w:trPr>
          <w:trHeight w:val="122"/>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right="240" w:hanging="255"/>
        <w:spacing w:after="0" w:line="260" w:lineRule="auto"/>
        <w:tabs>
          <w:tab w:leader="none" w:pos="25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and average rates for tax-exempt loans and securities are presented on a tax-equivalent basis, assuming a federal income tax rate of 21%. Tax-equivalent adjustments totaled $0.6 million and $0.7 million for the nine months ended September 30, 2026 and 2025, respectively.</w:t>
      </w: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amortization of deferred loan fees, net of deferred loan costs.</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during the periods presented represents: (i) the difference between interest income on interest-earning assets and the interest expense on interest-bearing liabilities, divided by (ii) average interest-earning assets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Interest Rates and Operating Interest Differential.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interest-bearing liabilities, as well as changes in average interest rates. The following table shows the effect that these factors had on the interest earned on our interest-earning assets and the interest incurred on our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proportionally to the change due to volume and the change due to 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 compared with Three Months</w:t>
            </w:r>
          </w:p>
        </w:tc>
        <w:tc>
          <w:tcPr>
            <w:tcW w:w="3440" w:type="dxa"/>
            <w:vAlign w:val="bottom"/>
            <w:gridSpan w:val="8"/>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 September 30, 2026 compared with Nine Months</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Ended September 30, 2025</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center"/>
              <w:ind w:left="763"/>
              <w:spacing w:after="0"/>
              <w:rPr>
                <w:sz w:val="20"/>
                <w:szCs w:val="20"/>
                <w:color w:val="auto"/>
              </w:rPr>
            </w:pPr>
            <w:r>
              <w:rPr>
                <w:rFonts w:ascii="Times New Roman" w:cs="Times New Roman" w:eastAsia="Times New Roman" w:hAnsi="Times New Roman"/>
                <w:sz w:val="11"/>
                <w:szCs w:val="11"/>
                <w:b w:val="1"/>
                <w:bCs w:val="1"/>
                <w:color w:val="auto"/>
              </w:rPr>
              <w:t>Ended September 30, 2025</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Change due to:</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Change due to:</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0" w:type="dxa"/>
            <w:vAlign w:val="bottom"/>
          </w:tcPr>
          <w:p>
            <w:pPr>
              <w:spacing w:after="0"/>
              <w:rPr>
                <w:sz w:val="1"/>
                <w:szCs w:val="1"/>
                <w:color w:val="auto"/>
              </w:rPr>
            </w:pPr>
          </w:p>
        </w:tc>
      </w:tr>
      <w:tr>
        <w:trPr>
          <w:trHeight w:val="3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(tax-equivalent basis, dollars in thousands)</w:t>
            </w:r>
          </w:p>
        </w:tc>
        <w:tc>
          <w:tcPr>
            <w:tcW w:w="100" w:type="dxa"/>
            <w:vAlign w:val="bottom"/>
          </w:tcPr>
          <w:p>
            <w:pPr>
              <w:spacing w:after="0"/>
              <w:rPr>
                <w:sz w:val="2"/>
                <w:szCs w:val="2"/>
                <w:color w:val="auto"/>
              </w:rPr>
            </w:pPr>
          </w:p>
        </w:tc>
        <w:tc>
          <w:tcPr>
            <w:tcW w:w="108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2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380" w:type="dxa"/>
            <w:vAlign w:val="bottom"/>
          </w:tcPr>
          <w:p>
            <w:pPr>
              <w:spacing w:after="0"/>
              <w:rPr>
                <w:sz w:val="2"/>
                <w:szCs w:val="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0" w:type="dxa"/>
            <w:vAlign w:val="bottom"/>
          </w:tcPr>
          <w:p>
            <w:pPr>
              <w:spacing w:after="0"/>
              <w:rPr>
                <w:sz w:val="1"/>
                <w:szCs w:val="1"/>
                <w:color w:val="auto"/>
              </w:rPr>
            </w:pPr>
          </w:p>
        </w:tc>
      </w:tr>
      <w:tr>
        <w:trPr>
          <w:trHeight w:val="15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Federal funds sold and cash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696</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484</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1,303</w:t>
            </w:r>
          </w:p>
        </w:tc>
        <w:tc>
          <w:tcPr>
            <w:tcW w:w="10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Taxable investment securities</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5,395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11,667</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 securities exempt from federal income tax</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1"/>
        </w:trPr>
        <w:tc>
          <w:tcPr>
            <w:tcW w:w="4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5,401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6,111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11,892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11,672</w:t>
            </w:r>
          </w:p>
        </w:tc>
        <w:tc>
          <w:tcPr>
            <w:tcW w:w="0" w:type="dxa"/>
            <w:vAlign w:val="bottom"/>
          </w:tcPr>
          <w:p>
            <w:pPr>
              <w:spacing w:after="0"/>
              <w:rPr>
                <w:sz w:val="1"/>
                <w:szCs w:val="1"/>
                <w:color w:val="auto"/>
              </w:rPr>
            </w:pPr>
          </w:p>
        </w:tc>
      </w:tr>
      <w:tr>
        <w:trPr>
          <w:trHeight w:val="15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Loans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(35,685)</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exempt from federal income tax</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51"/>
        </w:trPr>
        <w:tc>
          <w:tcPr>
            <w:tcW w:w="4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Total loans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(11,667)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(11,839)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(37,452)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(35,958)</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 held for sale</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(4,760)</w:t>
            </w:r>
          </w:p>
        </w:tc>
        <w:tc>
          <w:tcPr>
            <w:tcW w:w="0" w:type="dxa"/>
            <w:vAlign w:val="bottom"/>
          </w:tcPr>
          <w:p>
            <w:pPr>
              <w:spacing w:after="0"/>
              <w:rPr>
                <w:sz w:val="1"/>
                <w:szCs w:val="1"/>
                <w:color w:val="auto"/>
              </w:rPr>
            </w:pPr>
          </w:p>
        </w:tc>
      </w:tr>
      <w:tr>
        <w:trPr>
          <w:trHeight w:val="16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Nonmarketable equity securities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(29,781)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(28,609)</w:t>
            </w:r>
          </w:p>
        </w:tc>
        <w:tc>
          <w:tcPr>
            <w:tcW w:w="0" w:type="dxa"/>
            <w:vAlign w:val="bottom"/>
          </w:tcPr>
          <w:p>
            <w:pPr>
              <w:spacing w:after="0"/>
              <w:rPr>
                <w:sz w:val="1"/>
                <w:szCs w:val="1"/>
                <w:color w:val="auto"/>
              </w:rPr>
            </w:pPr>
          </w:p>
        </w:tc>
      </w:tr>
      <w:tr>
        <w:trPr>
          <w:trHeight w:val="14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Checking and money market deposits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(14,417)</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Savings deposits</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Time deposits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(4,679)</w:t>
            </w:r>
          </w:p>
        </w:tc>
        <w:tc>
          <w:tcPr>
            <w:tcW w:w="0" w:type="dxa"/>
            <w:vAlign w:val="bottom"/>
          </w:tcPr>
          <w:p>
            <w:pPr>
              <w:spacing w:after="0"/>
              <w:rPr>
                <w:sz w:val="1"/>
                <w:szCs w:val="1"/>
                <w:color w:val="auto"/>
              </w:rPr>
            </w:pPr>
          </w:p>
        </w:tc>
      </w:tr>
      <w:tr>
        <w:trPr>
          <w:trHeight w:val="16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Brokered deposits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(4,058)</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(4,200)</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(22,144)</w:t>
            </w:r>
          </w:p>
        </w:tc>
        <w:tc>
          <w:tcPr>
            <w:tcW w:w="0" w:type="dxa"/>
            <w:vAlign w:val="bottom"/>
          </w:tcPr>
          <w:p>
            <w:pPr>
              <w:spacing w:after="0"/>
              <w:rPr>
                <w:sz w:val="1"/>
                <w:szCs w:val="1"/>
                <w:color w:val="auto"/>
              </w:rPr>
            </w:pPr>
          </w:p>
        </w:tc>
      </w:tr>
      <w:tr>
        <w:trPr>
          <w:trHeight w:val="151"/>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FHLB advances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(3,789)</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Subordinated debt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(3,034)</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Trust preferred debentures</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151"/>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(7,077)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(14,359)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(30,178)</w:t>
            </w: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(2,789)</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right="34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on a tax-equivalent basis, decreased $5.5 million to $93.2 million for the third quarter of 2026 compared to the same period in 2025, primarily due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decline in average interest-earning assets. The yield on interest-earning assets decreased 14 basis points to 5.97% from 6.11%.</w:t>
      </w:r>
    </w:p>
    <w:p>
      <w:pPr>
        <w:spacing w:after="0" w:line="12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Average interest-earning assets decreased $213.0 million to $6.20 billion in the third quarter of 2026 compared to the same period in 2025. A decrease in average loans of $712.5 million was partially offset by an increase in average investment securities and federal funds sold and cash investments of $441.5 million and $70.5 million, respectively.</w:t>
      </w:r>
    </w:p>
    <w:p>
      <w:pPr>
        <w:spacing w:after="0" w:line="124" w:lineRule="exact"/>
        <w:rPr>
          <w:sz w:val="20"/>
          <w:szCs w:val="20"/>
          <w:color w:val="auto"/>
        </w:rPr>
      </w:pPr>
    </w:p>
    <w:p>
      <w:pPr>
        <w:jc w:val="both"/>
        <w:ind w:right="500" w:firstLine="509"/>
        <w:spacing w:after="0" w:line="270" w:lineRule="auto"/>
        <w:rPr>
          <w:sz w:val="20"/>
          <w:szCs w:val="20"/>
          <w:color w:val="auto"/>
        </w:rPr>
      </w:pPr>
      <w:r>
        <w:rPr>
          <w:rFonts w:ascii="Times New Roman" w:cs="Times New Roman" w:eastAsia="Times New Roman" w:hAnsi="Times New Roman"/>
          <w:sz w:val="14"/>
          <w:szCs w:val="14"/>
          <w:color w:val="auto"/>
        </w:rPr>
        <w:t>Average loans decreased $712.5 million in the third quarter of 2026 compared to the same period in 2025. During the fourth quarter of 2025, the Company sold substantially all of its equipment finance portfolio. As a result, equipment finance loan and lease average balances decreased $637.3 million, to $38.1 million, in the third quarter of 2026. Proceeds from the sale of substantially all of the portfolio were used to purchase investment securities and reduce higher-cost funding for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For the first nine months of 2026, interest income, on a tax-equivalent basis, decreased $28.6 million to $267.8 million compared to the same period in 2025, primarily due to a decline in average interest-earning assets. The yield on interest-earning assets decreased nine basis points to 5.90% from 5.99%.</w:t>
      </w:r>
    </w:p>
    <w:p>
      <w:pPr>
        <w:spacing w:after="0" w:line="13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Average interest-earning assets decreased $546.9 million to $6.07 billion in the first nine months of 2026 compared to the same period in 2025. Average loans and average loans held for sale decreased $789.9 million and $118.6 million, respectively. These decreases were partially offset by an increase in average investment securities and federal funds sold and cash investments of $324.7 million and $44.2 million, respectively.</w:t>
      </w:r>
    </w:p>
    <w:p>
      <w:pPr>
        <w:spacing w:after="0" w:line="13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Average loans decreased $789.9 million in the first nine months of 2026 compared to the same period in 2025, primarily due to the sale of substantially all of its equipment finance portfolio during the fourth quarter of 2025. As a result, equipment finance loan and lease average balances decreased $683.4 million, to $47.0 million, in the first nine months of 2026.</w:t>
      </w:r>
    </w:p>
    <w:p>
      <w:pPr>
        <w:spacing w:after="0" w:line="167"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$125.7 million of average loans held for sale in the first nine months of 2025 included $118.0 million of GreenSky consumer loans. The Company completed the sale of this portfolio in the second quarter of 2025.</w:t>
      </w:r>
    </w:p>
    <w:p>
      <w:pPr>
        <w:spacing w:after="0" w:line="122" w:lineRule="exact"/>
        <w:rPr>
          <w:sz w:val="20"/>
          <w:szCs w:val="20"/>
          <w:color w:val="auto"/>
        </w:rPr>
      </w:pPr>
    </w:p>
    <w:p>
      <w:pPr>
        <w:ind w:right="36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decreased $7.1 million to $30.3 million for the third quarter of 2026 compared to the same period in 2025 due to a decrease in both rates paid 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average balances of interest-bearing liabilities. The cost of interest-bearing liabilities decreased to 2.37% from 2.84%.</w:t>
      </w:r>
    </w:p>
    <w:p>
      <w:pPr>
        <w:spacing w:after="0" w:line="12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Interest expense on deposits decreased $4.0 million to </w:t>
      </w:r>
      <w:r>
        <w:rPr>
          <w:rFonts w:ascii="Times New Roman" w:cs="Times New Roman" w:eastAsia="Times New Roman" w:hAnsi="Times New Roman"/>
          <w:sz w:val="14"/>
          <w:szCs w:val="14"/>
          <w:color w:val="000000"/>
        </w:rPr>
        <w:t>$26.3 million</w:t>
      </w:r>
      <w:r>
        <w:rPr>
          <w:rFonts w:ascii="Times New Roman" w:cs="Times New Roman" w:eastAsia="Times New Roman" w:hAnsi="Times New Roman"/>
          <w:sz w:val="14"/>
          <w:szCs w:val="14"/>
          <w:color w:val="212529"/>
        </w:rPr>
        <w:t xml:space="preserve"> for the </w:t>
      </w:r>
      <w:r>
        <w:rPr>
          <w:rFonts w:ascii="Times New Roman" w:cs="Times New Roman" w:eastAsia="Times New Roman" w:hAnsi="Times New Roman"/>
          <w:sz w:val="14"/>
          <w:szCs w:val="14"/>
          <w:color w:val="000000"/>
        </w:rPr>
        <w:t>third quarter of 2026 compared to t</w:t>
      </w:r>
      <w:r>
        <w:rPr>
          <w:rFonts w:ascii="Times New Roman" w:cs="Times New Roman" w:eastAsia="Times New Roman" w:hAnsi="Times New Roman"/>
          <w:sz w:val="14"/>
          <w:szCs w:val="14"/>
          <w:color w:val="212529"/>
        </w:rPr>
        <w:t xml:space="preserve">he same period in </w:t>
      </w:r>
      <w:r>
        <w:rPr>
          <w:rFonts w:ascii="Times New Roman" w:cs="Times New Roman" w:eastAsia="Times New Roman" w:hAnsi="Times New Roman"/>
          <w:sz w:val="14"/>
          <w:szCs w:val="14"/>
          <w:color w:val="000000"/>
        </w:rPr>
        <w:t>2025, driven primarily by the rate cuts enacted by the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Federal Reserve Bank beginning in late 2024.</w:t>
      </w:r>
    </w:p>
    <w:p>
      <w:pPr>
        <w:spacing w:after="0" w:line="124"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Interest expense on FHLB advances decreased $1.9 million </w:t>
      </w:r>
      <w:r>
        <w:rPr>
          <w:rFonts w:ascii="Times New Roman" w:cs="Times New Roman" w:eastAsia="Times New Roman" w:hAnsi="Times New Roman"/>
          <w:sz w:val="14"/>
          <w:szCs w:val="14"/>
          <w:color w:val="000000"/>
        </w:rPr>
        <w:t>in the third quarter of 2026</w:t>
      </w:r>
      <w:r>
        <w:rPr>
          <w:rFonts w:ascii="Times New Roman" w:cs="Times New Roman" w:eastAsia="Times New Roman" w:hAnsi="Times New Roman"/>
          <w:sz w:val="14"/>
          <w:szCs w:val="14"/>
          <w:color w:val="212529"/>
        </w:rPr>
        <w:t xml:space="preserve"> compared to the same period in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due to a decrease in both rates paid on FHLB advances and average balances.</w:t>
      </w:r>
    </w:p>
    <w:p>
      <w:pPr>
        <w:spacing w:after="0" w:line="124"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Interest expense on subordinated debt decreased $1.0 million </w:t>
      </w:r>
      <w:r>
        <w:rPr>
          <w:rFonts w:ascii="Times New Roman" w:cs="Times New Roman" w:eastAsia="Times New Roman" w:hAnsi="Times New Roman"/>
          <w:sz w:val="14"/>
          <w:szCs w:val="14"/>
          <w:color w:val="000000"/>
        </w:rPr>
        <w:t>in the third quarter of 2026</w:t>
      </w:r>
      <w:r>
        <w:rPr>
          <w:rFonts w:ascii="Times New Roman" w:cs="Times New Roman" w:eastAsia="Times New Roman" w:hAnsi="Times New Roman"/>
          <w:sz w:val="14"/>
          <w:szCs w:val="14"/>
          <w:color w:val="212529"/>
        </w:rPr>
        <w:t xml:space="preserve"> compared to the same period in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xml:space="preserve">, driven primarily by a decrease in average balances of $50.2 million, due to the redemption of </w:t>
      </w:r>
      <w:r>
        <w:rPr>
          <w:rFonts w:ascii="Times New Roman" w:cs="Times New Roman" w:eastAsia="Times New Roman" w:hAnsi="Times New Roman"/>
          <w:sz w:val="14"/>
          <w:szCs w:val="14"/>
          <w:color w:val="000000"/>
        </w:rPr>
        <w:t>$50.8 million of de</w:t>
      </w:r>
      <w:r>
        <w:rPr>
          <w:rFonts w:ascii="Times New Roman" w:cs="Times New Roman" w:eastAsia="Times New Roman" w:hAnsi="Times New Roman"/>
          <w:sz w:val="14"/>
          <w:szCs w:val="14"/>
          <w:color w:val="212529"/>
        </w:rPr>
        <w:t>bt in September 2025.</w:t>
      </w:r>
    </w:p>
    <w:p>
      <w:pPr>
        <w:spacing w:after="0" w:line="156"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 xml:space="preserve">For the first nine months of 2026, interest expense decreased </w:t>
      </w:r>
      <w:r>
        <w:rPr>
          <w:rFonts w:ascii="Times New Roman" w:cs="Times New Roman" w:eastAsia="Times New Roman" w:hAnsi="Times New Roman"/>
          <w:sz w:val="14"/>
          <w:szCs w:val="14"/>
          <w:color w:val="212529"/>
        </w:rPr>
        <w:t>$30.2 million</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color w:val="212529"/>
        </w:rPr>
        <w:t>$87.5 million</w:t>
      </w:r>
      <w:r>
        <w:rPr>
          <w:rFonts w:ascii="Times New Roman" w:cs="Times New Roman" w:eastAsia="Times New Roman" w:hAnsi="Times New Roman"/>
          <w:sz w:val="14"/>
          <w:szCs w:val="14"/>
          <w:color w:val="auto"/>
        </w:rPr>
        <w:t xml:space="preserve"> compared to the same period in 2025 </w:t>
      </w:r>
      <w:r>
        <w:rPr>
          <w:rFonts w:ascii="Times New Roman" w:cs="Times New Roman" w:eastAsia="Times New Roman" w:hAnsi="Times New Roman"/>
          <w:sz w:val="14"/>
          <w:szCs w:val="14"/>
          <w:color w:val="212529"/>
        </w:rPr>
        <w:t>due to a decrease in both the rates paid on and average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balances of interest-bearing liabilities</w:t>
      </w:r>
      <w:r>
        <w:rPr>
          <w:rFonts w:ascii="Times New Roman" w:cs="Times New Roman" w:eastAsia="Times New Roman" w:hAnsi="Times New Roman"/>
          <w:sz w:val="14"/>
          <w:szCs w:val="14"/>
          <w:color w:val="000000"/>
        </w:rPr>
        <w:t>. The cost of interest-bearing liabilities decreased to 2.38% from 2.92%</w:t>
      </w:r>
      <w:r>
        <w:rPr>
          <w:rFonts w:ascii="Times New Roman" w:cs="Times New Roman" w:eastAsia="Times New Roman" w:hAnsi="Times New Roman"/>
          <w:sz w:val="14"/>
          <w:szCs w:val="14"/>
          <w:color w:val="212529"/>
        </w:rPr>
        <w:t>.</w:t>
      </w:r>
    </w:p>
    <w:p>
      <w:pPr>
        <w:spacing w:after="0" w:line="13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color w:val="212529"/>
        </w:rPr>
        <w:t>nterest expense on deposits</w:t>
      </w:r>
      <w:r>
        <w:rPr>
          <w:rFonts w:ascii="Times New Roman" w:cs="Times New Roman" w:eastAsia="Times New Roman" w:hAnsi="Times New Roman"/>
          <w:sz w:val="14"/>
          <w:szCs w:val="14"/>
          <w:color w:val="auto"/>
        </w:rPr>
        <w:t xml:space="preserve"> decreased </w:t>
      </w:r>
      <w:r>
        <w:rPr>
          <w:rFonts w:ascii="Times New Roman" w:cs="Times New Roman" w:eastAsia="Times New Roman" w:hAnsi="Times New Roman"/>
          <w:sz w:val="14"/>
          <w:szCs w:val="14"/>
          <w:color w:val="212529"/>
        </w:rPr>
        <w:t>$22.1 million to $75.0 million f</w:t>
      </w:r>
      <w:r>
        <w:rPr>
          <w:rFonts w:ascii="Times New Roman" w:cs="Times New Roman" w:eastAsia="Times New Roman" w:hAnsi="Times New Roman"/>
          <w:sz w:val="14"/>
          <w:szCs w:val="14"/>
          <w:color w:val="auto"/>
        </w:rPr>
        <w:t xml:space="preserve">or the first nine months of 2026 </w:t>
      </w:r>
      <w:r>
        <w:rPr>
          <w:rFonts w:ascii="Times New Roman" w:cs="Times New Roman" w:eastAsia="Times New Roman" w:hAnsi="Times New Roman"/>
          <w:sz w:val="14"/>
          <w:szCs w:val="14"/>
          <w:color w:val="212529"/>
        </w:rPr>
        <w:t>compared to the same period in</w:t>
      </w:r>
      <w:r>
        <w:rPr>
          <w:rFonts w:ascii="Times New Roman" w:cs="Times New Roman" w:eastAsia="Times New Roman" w:hAnsi="Times New Roman"/>
          <w:sz w:val="14"/>
          <w:szCs w:val="14"/>
          <w:color w:val="auto"/>
        </w:rPr>
        <w:t xml:space="preserve"> 2025, driven primarily by the rate cuts enacted by the Federal Reserve Bank beginning in late 2024 and a decrease in average balances.</w:t>
      </w:r>
    </w:p>
    <w:p>
      <w:pPr>
        <w:spacing w:after="0" w:line="124"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212529"/>
        </w:rPr>
        <w:t xml:space="preserve">Average balances of interest-bearing deposit accounts </w:t>
      </w:r>
      <w:r>
        <w:rPr>
          <w:rFonts w:ascii="Times New Roman" w:cs="Times New Roman" w:eastAsia="Times New Roman" w:hAnsi="Times New Roman"/>
          <w:sz w:val="14"/>
          <w:szCs w:val="14"/>
          <w:color w:val="000000"/>
        </w:rPr>
        <w:t>decreased</w:t>
      </w:r>
      <w:r>
        <w:rPr>
          <w:rFonts w:ascii="Times New Roman" w:cs="Times New Roman" w:eastAsia="Times New Roman" w:hAnsi="Times New Roman"/>
          <w:sz w:val="14"/>
          <w:szCs w:val="14"/>
          <w:color w:val="212529"/>
        </w:rPr>
        <w:t xml:space="preserve"> $298.1 million to $4.56 billion for the </w:t>
      </w:r>
      <w:r>
        <w:rPr>
          <w:rFonts w:ascii="Times New Roman" w:cs="Times New Roman" w:eastAsia="Times New Roman" w:hAnsi="Times New Roman"/>
          <w:sz w:val="14"/>
          <w:szCs w:val="14"/>
          <w:color w:val="000000"/>
        </w:rPr>
        <w:t>first nine months of 2026</w:t>
      </w:r>
      <w:r>
        <w:rPr>
          <w:rFonts w:ascii="Times New Roman" w:cs="Times New Roman" w:eastAsia="Times New Roman" w:hAnsi="Times New Roman"/>
          <w:sz w:val="14"/>
          <w:szCs w:val="14"/>
          <w:color w:val="212529"/>
        </w:rPr>
        <w:t xml:space="preserve"> compared to the same period in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xml:space="preserve">. Proceeds from the sales of substantially all of our equipment financing portfolio and non-core consumer loan portfolios in </w:t>
      </w:r>
      <w:r>
        <w:rPr>
          <w:rFonts w:ascii="Times New Roman" w:cs="Times New Roman" w:eastAsia="Times New Roman" w:hAnsi="Times New Roman"/>
          <w:sz w:val="14"/>
          <w:szCs w:val="14"/>
          <w:color w:val="000000"/>
        </w:rPr>
        <w:t>2025 were used to reduce higher-cost funding for the Company, including servicing deposits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and brokered deposits.</w:t>
      </w:r>
    </w:p>
    <w:p>
      <w:pPr>
        <w:spacing w:after="0" w:line="13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Interest expense on FHLB advances </w:t>
      </w:r>
      <w:r>
        <w:rPr>
          <w:rFonts w:ascii="Times New Roman" w:cs="Times New Roman" w:eastAsia="Times New Roman" w:hAnsi="Times New Roman"/>
          <w:sz w:val="14"/>
          <w:szCs w:val="14"/>
          <w:color w:val="000000"/>
        </w:rPr>
        <w:t>decreased</w:t>
      </w:r>
      <w:r>
        <w:rPr>
          <w:rFonts w:ascii="Times New Roman" w:cs="Times New Roman" w:eastAsia="Times New Roman" w:hAnsi="Times New Roman"/>
          <w:sz w:val="14"/>
          <w:szCs w:val="14"/>
          <w:color w:val="212529"/>
        </w:rPr>
        <w:t xml:space="preserve"> $3.8 million for the </w:t>
      </w:r>
      <w:r>
        <w:rPr>
          <w:rFonts w:ascii="Times New Roman" w:cs="Times New Roman" w:eastAsia="Times New Roman" w:hAnsi="Times New Roman"/>
          <w:sz w:val="14"/>
          <w:szCs w:val="14"/>
          <w:color w:val="000000"/>
        </w:rPr>
        <w:t>first nine months of 2026</w:t>
      </w:r>
      <w:r>
        <w:rPr>
          <w:rFonts w:ascii="Times New Roman" w:cs="Times New Roman" w:eastAsia="Times New Roman" w:hAnsi="Times New Roman"/>
          <w:sz w:val="14"/>
          <w:szCs w:val="14"/>
          <w:color w:val="212529"/>
        </w:rPr>
        <w:t xml:space="preserve"> compared to the same period in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due to a decrease in both rates paid on FHLB advances and average balances.</w:t>
      </w:r>
    </w:p>
    <w:p>
      <w:pPr>
        <w:spacing w:after="0" w:line="12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212529"/>
        </w:rPr>
        <w:t xml:space="preserve">Interest expense on subordinated debt </w:t>
      </w:r>
      <w:r>
        <w:rPr>
          <w:rFonts w:ascii="Times New Roman" w:cs="Times New Roman" w:eastAsia="Times New Roman" w:hAnsi="Times New Roman"/>
          <w:sz w:val="14"/>
          <w:szCs w:val="14"/>
          <w:color w:val="000000"/>
        </w:rPr>
        <w:t>decreased</w:t>
      </w:r>
      <w:r>
        <w:rPr>
          <w:rFonts w:ascii="Times New Roman" w:cs="Times New Roman" w:eastAsia="Times New Roman" w:hAnsi="Times New Roman"/>
          <w:sz w:val="14"/>
          <w:szCs w:val="14"/>
          <w:color w:val="212529"/>
        </w:rPr>
        <w:t xml:space="preserve"> $3.0 million for the </w:t>
      </w:r>
      <w:r>
        <w:rPr>
          <w:rFonts w:ascii="Times New Roman" w:cs="Times New Roman" w:eastAsia="Times New Roman" w:hAnsi="Times New Roman"/>
          <w:sz w:val="14"/>
          <w:szCs w:val="14"/>
          <w:color w:val="000000"/>
        </w:rPr>
        <w:t>first nine months of 2026</w:t>
      </w:r>
      <w:r>
        <w:rPr>
          <w:rFonts w:ascii="Times New Roman" w:cs="Times New Roman" w:eastAsia="Times New Roman" w:hAnsi="Times New Roman"/>
          <w:sz w:val="14"/>
          <w:szCs w:val="14"/>
          <w:color w:val="212529"/>
        </w:rPr>
        <w:t xml:space="preserve"> compared to the same period in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driven primarily by a decrease in average balances of $50.5 million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12529"/>
        </w:rPr>
        <w:t xml:space="preserve"> due to the redemption of </w:t>
      </w:r>
      <w:r>
        <w:rPr>
          <w:rFonts w:ascii="Times New Roman" w:cs="Times New Roman" w:eastAsia="Times New Roman" w:hAnsi="Times New Roman"/>
          <w:sz w:val="14"/>
          <w:szCs w:val="14"/>
          <w:color w:val="000000"/>
        </w:rPr>
        <w:t>$50.8 million of de</w:t>
      </w:r>
      <w:r>
        <w:rPr>
          <w:rFonts w:ascii="Times New Roman" w:cs="Times New Roman" w:eastAsia="Times New Roman" w:hAnsi="Times New Roman"/>
          <w:sz w:val="14"/>
          <w:szCs w:val="14"/>
          <w:color w:val="212529"/>
        </w:rPr>
        <w:t>bt in September 2025.</w:t>
      </w:r>
    </w:p>
    <w:p>
      <w:pPr>
        <w:spacing w:after="0" w:line="12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r>
        <w:rPr>
          <w:rFonts w:ascii="Times New Roman" w:cs="Times New Roman" w:eastAsia="Times New Roman" w:hAnsi="Times New Roman"/>
          <w:sz w:val="14"/>
          <w:szCs w:val="14"/>
          <w:color w:val="212529"/>
        </w:rPr>
        <w:t>. Provision for credit losses totaled $3.7 million and $20.0 million for the three months ended September 30, 2026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4"/>
          <w:szCs w:val="14"/>
          <w:color w:val="212529"/>
        </w:rPr>
        <w:t>, respectively, and $15.6 million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12529"/>
        </w:rPr>
        <w:t xml:space="preserve">$48.2 million for the </w:t>
      </w:r>
      <w:r>
        <w:rPr>
          <w:rFonts w:ascii="Times New Roman" w:cs="Times New Roman" w:eastAsia="Times New Roman" w:hAnsi="Times New Roman"/>
          <w:sz w:val="14"/>
          <w:szCs w:val="14"/>
          <w:color w:val="000000"/>
        </w:rPr>
        <w:t>nine months ended September 30, 2026</w:t>
      </w:r>
      <w:r>
        <w:rPr>
          <w:rFonts w:ascii="Times New Roman" w:cs="Times New Roman" w:eastAsia="Times New Roman" w:hAnsi="Times New Roman"/>
          <w:sz w:val="14"/>
          <w:szCs w:val="14"/>
          <w:color w:val="212529"/>
        </w:rPr>
        <w:t xml:space="preserve"> and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xml:space="preserve">, respectively. Provision for credit losses for the three and nine months ended September 30, 2026 included a provision of credit losses on unfunded commitments of $0.1 million and a recapture of credit losses on unfunded commitments of $0.6 million, respectively, compared with a $0.5 million recapture for both </w:t>
      </w:r>
      <w:r>
        <w:rPr>
          <w:rFonts w:ascii="Times New Roman" w:cs="Times New Roman" w:eastAsia="Times New Roman" w:hAnsi="Times New Roman"/>
          <w:sz w:val="14"/>
          <w:szCs w:val="14"/>
          <w:color w:val="000000"/>
        </w:rPr>
        <w:t>the three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and nine months ended September 30, 2025</w:t>
      </w:r>
      <w:r>
        <w:rPr>
          <w:rFonts w:ascii="Times New Roman" w:cs="Times New Roman" w:eastAsia="Times New Roman" w:hAnsi="Times New Roman"/>
          <w:sz w:val="14"/>
          <w:szCs w:val="14"/>
          <w:color w:val="212529"/>
        </w:rPr>
        <w:t>. The decrease in provision for credit losses for the three and nine months ended September 30, 2026, compared to the same periods in</w:t>
      </w:r>
      <w:r>
        <w:rPr>
          <w:rFonts w:ascii="Times New Roman" w:cs="Times New Roman" w:eastAsia="Times New Roman" w:hAnsi="Times New Roman"/>
          <w:sz w:val="14"/>
          <w:szCs w:val="14"/>
          <w:color w:val="000000"/>
        </w:rPr>
        <w:t xml:space="preserve"> 2025</w:t>
      </w:r>
      <w:r>
        <w:rPr>
          <w:rFonts w:ascii="Times New Roman" w:cs="Times New Roman" w:eastAsia="Times New Roman" w:hAnsi="Times New Roman"/>
          <w:sz w:val="14"/>
          <w:szCs w:val="14"/>
          <w:color w:val="212529"/>
        </w:rPr>
        <w:t>, was due in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 xml:space="preserve">part to the sale of the equipment finance portfolio that occurred in late </w:t>
      </w:r>
      <w:r>
        <w:rPr>
          <w:rFonts w:ascii="Times New Roman" w:cs="Times New Roman" w:eastAsia="Times New Roman" w:hAnsi="Times New Roman"/>
          <w:sz w:val="14"/>
          <w:szCs w:val="14"/>
          <w:color w:val="000000"/>
        </w:rPr>
        <w:t>2025</w:t>
      </w:r>
      <w:r>
        <w:rPr>
          <w:rFonts w:ascii="Times New Roman" w:cs="Times New Roman" w:eastAsia="Times New Roman" w:hAnsi="Times New Roman"/>
          <w:sz w:val="14"/>
          <w:szCs w:val="14"/>
          <w:color w:val="212529"/>
        </w:rPr>
        <w:t>, and the Company's continued efforts to remediate nonperforming loans.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212529"/>
        </w:rPr>
        <w:t>The provision for credit losses on loans recognized during the three and nine months ended September 30, 2026 was made at a level deemed necessary by Management to absorb estimated losses in the loan portfolio. A detailed evaluation of the adequacy of the allowance for credit losses is completed quarterly by Management, the results of which are used to determine provision for credit losses. Management estimates the allowance balance required using past loan loss experience, the nature and volume of the portfolio, information about specific borrower situations and estimated collateral values, economic conditions and reasonable and supportable forecasts along with other qualitative and quantitative factors.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Noninterest Income. </w:t>
      </w:r>
      <w:r>
        <w:rPr>
          <w:rFonts w:ascii="Times New Roman" w:cs="Times New Roman" w:eastAsia="Times New Roman" w:hAnsi="Times New Roman"/>
          <w:sz w:val="14"/>
          <w:szCs w:val="14"/>
          <w:color w:val="auto"/>
        </w:rPr>
        <w:t>The following table presents the major components of our noninterest income for the three and nine months ended September 30, 2026 and 2025: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2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Increase</w:t>
            </w:r>
          </w:p>
        </w:tc>
      </w:tr>
      <w:tr>
        <w:trPr>
          <w:trHeight w:val="166"/>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240" w:type="dxa"/>
            <w:vAlign w:val="bottom"/>
          </w:tcPr>
          <w:p>
            <w:pPr>
              <w:spacing w:after="0"/>
              <w:rPr>
                <w:sz w:val="14"/>
                <w:szCs w:val="14"/>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(decrease)</w:t>
            </w:r>
          </w:p>
        </w:tc>
      </w:tr>
      <w:tr>
        <w:trPr>
          <w:trHeight w:val="15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Noninterest income:</w:t>
            </w:r>
          </w:p>
        </w:tc>
        <w:tc>
          <w:tcPr>
            <w:tcW w:w="8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0"/>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Wealth management revenue</w:t>
            </w:r>
          </w:p>
        </w:tc>
        <w:tc>
          <w:tcPr>
            <w:tcW w:w="80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8,651</w:t>
            </w:r>
          </w:p>
        </w:tc>
        <w:tc>
          <w:tcPr>
            <w:tcW w:w="100" w:type="dxa"/>
            <w:vAlign w:val="bottom"/>
          </w:tcPr>
          <w:p>
            <w:pPr>
              <w:spacing w:after="0"/>
              <w:rPr>
                <w:sz w:val="13"/>
                <w:szCs w:val="13"/>
                <w:color w:val="auto"/>
              </w:rPr>
            </w:pP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8,018</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25,667</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9"/>
              </w:rPr>
              <w:t>22,747</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2,920</w:t>
            </w:r>
          </w:p>
        </w:tc>
      </w:tr>
      <w:tr>
        <w:trPr>
          <w:trHeight w:val="179"/>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charges on deposit accounts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10,579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10,254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r>
      <w:tr>
        <w:trPr>
          <w:trHeight w:val="160"/>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Interchange revenue</w:t>
            </w:r>
          </w:p>
        </w:tc>
        <w:tc>
          <w:tcPr>
            <w:tcW w:w="8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11,065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9"/>
              </w:rPr>
              <w:t>10,059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w:t>
            </w:r>
          </w:p>
        </w:tc>
      </w:tr>
      <w:tr>
        <w:trPr>
          <w:trHeight w:val="179"/>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mortgage banking revenue</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w:t>
            </w:r>
          </w:p>
        </w:tc>
      </w:tr>
      <w:tr>
        <w:trPr>
          <w:trHeight w:val="160"/>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on company-owned life insurance</w:t>
            </w:r>
          </w:p>
        </w:tc>
        <w:tc>
          <w:tcPr>
            <w:tcW w:w="8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6,031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6,504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r>
      <w:tr>
        <w:trPr>
          <w:trHeight w:val="179"/>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on sales of investment securities, net</w:t>
            </w:r>
          </w:p>
        </w:tc>
        <w:tc>
          <w:tcPr>
            <w:tcW w:w="8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(1,745)</w:t>
            </w:r>
          </w:p>
        </w:tc>
      </w:tr>
      <w:tr>
        <w:trPr>
          <w:trHeight w:val="160"/>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Credit enhancement income</w:t>
            </w:r>
          </w:p>
        </w:tc>
        <w:tc>
          <w:tcPr>
            <w:tcW w:w="8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9,549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6,521</w:t>
            </w:r>
          </w:p>
        </w:tc>
      </w:tr>
      <w:tr>
        <w:trPr>
          <w:trHeight w:val="17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8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6,439</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7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noninterest income</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23,237</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20,016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69,127</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61,313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7,814</w:t>
            </w:r>
          </w:p>
        </w:tc>
      </w:tr>
      <w:tr>
        <w:trPr>
          <w:trHeight w:val="20"/>
        </w:trPr>
        <w:tc>
          <w:tcPr>
            <w:tcW w:w="4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Wealth management revenue</w:t>
      </w:r>
      <w:r>
        <w:rPr>
          <w:rFonts w:ascii="Times New Roman" w:cs="Times New Roman" w:eastAsia="Times New Roman" w:hAnsi="Times New Roman"/>
          <w:sz w:val="14"/>
          <w:szCs w:val="14"/>
          <w:color w:val="auto"/>
        </w:rPr>
        <w:t>. Wealth management revenue increased $0.6 million, or 7.9%, and $2.9 million, or 12.8%, for the three and nine months ended September 30,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compared to the same periods in 2025, driven by growth in assets under administration. Assets under administration increased 9.3% to $4.77 billion at September 30, 2026 from $4.36 billion at September 30, 2025.</w:t>
      </w:r>
    </w:p>
    <w:p>
      <w:pPr>
        <w:spacing w:after="0" w:line="134" w:lineRule="exact"/>
        <w:rPr>
          <w:sz w:val="20"/>
          <w:szCs w:val="20"/>
          <w:color w:val="auto"/>
        </w:rPr>
      </w:pPr>
    </w:p>
    <w:p>
      <w:pPr>
        <w:ind w:right="1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Interchange revenue</w:t>
      </w:r>
      <w:r>
        <w:rPr>
          <w:rFonts w:ascii="Times New Roman" w:cs="Times New Roman" w:eastAsia="Times New Roman" w:hAnsi="Times New Roman"/>
          <w:sz w:val="14"/>
          <w:szCs w:val="14"/>
          <w:color w:val="auto"/>
        </w:rPr>
        <w:t>. Interchange revenue increased $0.5 million, or 15.6%, and $1.0 million, or 10.0%, for the three and nine months ended September 30, 2026, respectively,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same periods in 2025. The increases were primarily attributable to performance-based incentives earned upon achieving specified qualified volume targets.</w:t>
      </w:r>
    </w:p>
    <w:p>
      <w:pPr>
        <w:spacing w:after="0" w:line="12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Residential mortgage banking revenue. </w:t>
      </w:r>
      <w:r>
        <w:rPr>
          <w:rFonts w:ascii="Times New Roman" w:cs="Times New Roman" w:eastAsia="Times New Roman" w:hAnsi="Times New Roman"/>
          <w:sz w:val="14"/>
          <w:szCs w:val="14"/>
          <w:color w:val="auto"/>
        </w:rPr>
        <w:t>Residential mortgage banking revenue decreased $0.5 million and $0.6 million for the three and nine months ended September 30, 2026,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compared to the same periods in 2025. The decrease for the three-month period </w:t>
      </w:r>
      <w:r>
        <w:rPr>
          <w:rFonts w:ascii="Times New Roman" w:cs="Times New Roman" w:eastAsia="Times New Roman" w:hAnsi="Times New Roman"/>
          <w:sz w:val="14"/>
          <w:szCs w:val="14"/>
          <w:color w:val="212529"/>
        </w:rPr>
        <w:t>was primarily driven by lower mortgage production, while the decrease for the nine-month period</w:t>
      </w:r>
      <w:r>
        <w:rPr>
          <w:rFonts w:ascii="Times New Roman" w:cs="Times New Roman" w:eastAsia="Times New Roman" w:hAnsi="Times New Roman"/>
          <w:sz w:val="14"/>
          <w:szCs w:val="14"/>
          <w:color w:val="auto"/>
        </w:rPr>
        <w:t xml:space="preserve"> primarily reflected lower servicing fees following the sale of our residential servicing portfolio. Loans originated for sale in the secondary market for three and nine months ended September 30, 2026 totaled $20.4 million and $79.2 million, respectively, compared to $29.6 million and $75.2 million for the same periods in 2025.</w:t>
      </w:r>
    </w:p>
    <w:p>
      <w:pPr>
        <w:spacing w:after="0" w:line="15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Credit enhancement income. </w:t>
      </w:r>
      <w:r>
        <w:rPr>
          <w:rFonts w:ascii="Times New Roman" w:cs="Times New Roman" w:eastAsia="Times New Roman" w:hAnsi="Times New Roman"/>
          <w:sz w:val="14"/>
          <w:szCs w:val="14"/>
          <w:color w:val="auto"/>
        </w:rPr>
        <w:t>In 2025 and through December 30, 2025, the Company was party to one third-party loan origination program, wherein the third-party provider offered various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enhancements with respect to loans originated under the program, including contributions to reserve accounts, yield maintenance and certain other payments. When the allowance for credit losses on loans was recorded, a credit enhancement derivative was also recorded on our balance sheet with a corresponding entry to credit enhancement income. The credit enhancement asset was reduced as credit enhancement payments and recoveries were received from the partner or taken from the partner's cash reserve account. Effective December 31, 2025, the Company modified its third-party lending and servicing arrangements with its sole partner, eliminating the credit enhancement derivative. The new arrangements provide a credit enhancement by the partner which protects the Company by indemnifying or reimbursing incurred losses. We estimate and record an allowance for expected credit losses and a corresponding credit enhancement asset on the balance sheet through credit enhancement income.</w:t>
      </w:r>
    </w:p>
    <w:p>
      <w:pPr>
        <w:spacing w:after="0" w:line="165"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recognized </w:t>
      </w:r>
      <w:r>
        <w:rPr>
          <w:rFonts w:ascii="Times New Roman" w:cs="Times New Roman" w:eastAsia="Times New Roman" w:hAnsi="Times New Roman"/>
          <w:sz w:val="14"/>
          <w:szCs w:val="14"/>
          <w:color w:val="212529"/>
        </w:rPr>
        <w:t>$3.1 million and $9.5 million</w:t>
      </w:r>
      <w:r>
        <w:rPr>
          <w:rFonts w:ascii="Times New Roman" w:cs="Times New Roman" w:eastAsia="Times New Roman" w:hAnsi="Times New Roman"/>
          <w:sz w:val="14"/>
          <w:szCs w:val="14"/>
          <w:color w:val="auto"/>
        </w:rPr>
        <w:t xml:space="preserve"> of credit enhancement income during the three and nine months ended September 30, 2026, respectively, which correlated to a similar amount of provision for credit losses as a result of the new arrangement entered into at December 31, 2025.</w:t>
      </w:r>
    </w:p>
    <w:p>
      <w:pPr>
        <w:spacing w:after="0" w:line="59"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Other income decreased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12529"/>
        </w:rPr>
        <w:t>$0.7 million and $0.1 million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and nine months ended September 30, 2026</w:t>
      </w:r>
      <w:r>
        <w:rPr>
          <w:rFonts w:ascii="Times New Roman" w:cs="Times New Roman" w:eastAsia="Times New Roman" w:hAnsi="Times New Roman"/>
          <w:sz w:val="14"/>
          <w:szCs w:val="14"/>
          <w:color w:val="212529"/>
        </w:rPr>
        <w:t>, respectively, compared to the same periods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driven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by the elimination of operating lease revenue due to the sale of our equipment finance portfolio in the fourth quarter of 2025. Operating lease revenue totaled $0.5 million and $1.8 million during the third quarter and first nine months of 2025, respectively. In the first nine months of 2026,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recognized $2.1 million in gains from the sale of our residential servicing portfolio and a portion of our commercial servicing portfolio.</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Noninterest Expense. </w:t>
      </w:r>
      <w:r>
        <w:rPr>
          <w:rFonts w:ascii="Times New Roman" w:cs="Times New Roman" w:eastAsia="Times New Roman" w:hAnsi="Times New Roman"/>
          <w:sz w:val="14"/>
          <w:szCs w:val="14"/>
          <w:color w:val="auto"/>
        </w:rPr>
        <w:t>The following table sets forth the major components of noninterest expense for the three and nine months ended September 30, 2026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12529"/>
        </w:rPr>
        <w:t>and 2025</w:t>
      </w:r>
      <w:r>
        <w:rPr>
          <w:rFonts w:ascii="Times New Roman" w:cs="Times New Roman" w:eastAsia="Times New Roman" w:hAnsi="Times New Roman"/>
          <w:sz w:val="14"/>
          <w:szCs w:val="14"/>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00" w:type="dxa"/>
            <w:vAlign w:val="bottom"/>
          </w:tcPr>
          <w:p>
            <w:pPr>
              <w:spacing w:after="0"/>
              <w:rPr>
                <w:sz w:val="13"/>
                <w:szCs w:val="13"/>
                <w:color w:val="auto"/>
              </w:rPr>
            </w:pPr>
          </w:p>
        </w:tc>
        <w:tc>
          <w:tcPr>
            <w:tcW w:w="98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Increase</w:t>
            </w:r>
          </w:p>
        </w:tc>
        <w:tc>
          <w:tcPr>
            <w:tcW w:w="0" w:type="dxa"/>
            <w:vAlign w:val="bottom"/>
          </w:tcPr>
          <w:p>
            <w:pPr>
              <w:spacing w:after="0"/>
              <w:rPr>
                <w:sz w:val="1"/>
                <w:szCs w:val="1"/>
                <w:color w:val="auto"/>
              </w:rPr>
            </w:pPr>
          </w:p>
        </w:tc>
      </w:tr>
      <w:tr>
        <w:trPr>
          <w:trHeight w:val="32"/>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7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(decrease)</w:t>
            </w:r>
          </w:p>
        </w:tc>
        <w:tc>
          <w:tcPr>
            <w:tcW w:w="0" w:type="dxa"/>
            <w:vAlign w:val="bottom"/>
          </w:tcPr>
          <w:p>
            <w:pPr>
              <w:spacing w:after="0"/>
              <w:rPr>
                <w:sz w:val="1"/>
                <w:szCs w:val="1"/>
                <w:color w:val="auto"/>
              </w:rPr>
            </w:pPr>
          </w:p>
        </w:tc>
      </w:tr>
      <w:tr>
        <w:trPr>
          <w:trHeight w:val="15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Noninterest expense:</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28,500</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26,393</w:t>
            </w:r>
          </w:p>
        </w:tc>
        <w:tc>
          <w:tcPr>
            <w:tcW w:w="100" w:type="dxa"/>
            <w:vAlign w:val="bottom"/>
          </w:tcPr>
          <w:p>
            <w:pPr>
              <w:spacing w:after="0"/>
              <w:rPr>
                <w:sz w:val="13"/>
                <w:szCs w:val="13"/>
                <w:color w:val="auto"/>
              </w:rPr>
            </w:pP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82,011</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78,494</w:t>
            </w:r>
          </w:p>
        </w:tc>
        <w:tc>
          <w:tcPr>
            <w:tcW w:w="1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3,517</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 and equipment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4,206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processing</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7,186</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FDIC insurance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(2,296)</w:t>
            </w: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Professional services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Marketing</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Communications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 expense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4,620</w:t>
            </w: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 servicing fees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Impairment on goodwill</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(153,977)</w:t>
            </w:r>
          </w:p>
        </w:tc>
        <w:tc>
          <w:tcPr>
            <w:tcW w:w="0" w:type="dxa"/>
            <w:vAlign w:val="bottom"/>
          </w:tcPr>
          <w:p>
            <w:pPr>
              <w:spacing w:after="0"/>
              <w:rPr>
                <w:sz w:val="1"/>
                <w:szCs w:val="1"/>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0" w:type="dxa"/>
            <w:vAlign w:val="bottom"/>
          </w:tcPr>
          <w:p>
            <w:pPr>
              <w:spacing w:after="0"/>
              <w:rPr>
                <w:sz w:val="1"/>
                <w:szCs w:val="1"/>
                <w:color w:val="auto"/>
              </w:rPr>
            </w:pPr>
          </w:p>
        </w:tc>
      </w:tr>
      <w:tr>
        <w:trPr>
          <w:trHeight w:val="17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expense</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3,004</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0" w:type="dxa"/>
            <w:vAlign w:val="bottom"/>
          </w:tcPr>
          <w:p>
            <w:pPr>
              <w:spacing w:after="0"/>
              <w:rPr>
                <w:sz w:val="1"/>
                <w:szCs w:val="1"/>
                <w:color w:val="auto"/>
              </w:rPr>
            </w:pPr>
          </w:p>
        </w:tc>
      </w:tr>
      <w:tr>
        <w:trPr>
          <w:trHeight w:val="17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52,843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49,814</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154,022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302,811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(148,789)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For the three and nine months ended September 30, 2026, salaries and employee benefits expense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12529"/>
        </w:rPr>
        <w:t>$2.1 million and $3.5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the same periods in 2025, primarily due to increased variable compensation expense and medical insurance expense. These increases were partially offset by lower severance expense in both periods compared to the same periods in 2025.</w:t>
      </w:r>
    </w:p>
    <w:p>
      <w:pPr>
        <w:spacing w:after="0" w:line="134"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FDIC insurance expense. </w:t>
      </w:r>
      <w:r>
        <w:rPr>
          <w:rFonts w:ascii="Times New Roman" w:cs="Times New Roman" w:eastAsia="Times New Roman" w:hAnsi="Times New Roman"/>
          <w:sz w:val="14"/>
          <w:szCs w:val="14"/>
          <w:color w:val="auto"/>
        </w:rPr>
        <w:t>The decrease in FDIC insurance expense for the three and nine months ended September 30, 2026, compared to the same periods in 2025 was due to a lower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assessment base in both the third quarter and first nine months of 2026, a shift in loan mix due to the sale of the equipment finance and non-core loan portfolios in 2025, and a decline in nonperforming loans.</w:t>
      </w:r>
    </w:p>
    <w:p>
      <w:pPr>
        <w:spacing w:after="0" w:line="134"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expense. </w:t>
      </w:r>
      <w:r>
        <w:rPr>
          <w:rFonts w:ascii="Times New Roman" w:cs="Times New Roman" w:eastAsia="Times New Roman" w:hAnsi="Times New Roman"/>
          <w:sz w:val="14"/>
          <w:szCs w:val="14"/>
          <w:color w:val="auto"/>
        </w:rPr>
        <w:t>For the three and nine months ended September 30, 2026, professional services expense decreased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12529"/>
        </w:rPr>
        <w:t>$0.3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12529"/>
        </w:rPr>
        <w:t>$2.0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same periods in 2025. The Company incurred additional audit and consulting expenses in 2025 as a result of the restatements of prior years' financial statements and as a result of contractual changes in the Company's third-party lending and servicing arrangements.</w:t>
      </w:r>
    </w:p>
    <w:p>
      <w:pPr>
        <w:spacing w:after="0" w:line="134"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Loan expense. </w:t>
      </w:r>
      <w:r>
        <w:rPr>
          <w:rFonts w:ascii="Times New Roman" w:cs="Times New Roman" w:eastAsia="Times New Roman" w:hAnsi="Times New Roman"/>
          <w:sz w:val="14"/>
          <w:szCs w:val="14"/>
          <w:color w:val="auto"/>
        </w:rPr>
        <w:t>Effective December 31, 2025, the Company modified its third-party lending and servicing arrangements with its sole program partner, whereby the Company pays credit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insurance to the program sponsor in exchange for the sponsor's commitment to reimburse the Company for incurred loan losses. Incurred losses are recognized as loans are charged-off through the allowance for credit losses. Reimbursements of incurred losses are recognized as a reduction of our credit enhancement asset. Credit insurance expense totaled </w:t>
      </w:r>
      <w:r>
        <w:rPr>
          <w:rFonts w:ascii="Times New Roman" w:cs="Times New Roman" w:eastAsia="Times New Roman" w:hAnsi="Times New Roman"/>
          <w:sz w:val="14"/>
          <w:szCs w:val="14"/>
          <w:color w:val="212529"/>
        </w:rPr>
        <w:t>$2.5 million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212529"/>
        </w:rPr>
        <w:t>$7.2 million</w:t>
      </w:r>
      <w:r>
        <w:rPr>
          <w:rFonts w:ascii="Times New Roman" w:cs="Times New Roman" w:eastAsia="Times New Roman" w:hAnsi="Times New Roman"/>
          <w:sz w:val="14"/>
          <w:szCs w:val="14"/>
          <w:color w:val="auto"/>
        </w:rPr>
        <w:t xml:space="preserve"> for the three and nine months ended September 30, 2026, respectively, compared to no such expense in the corresponding periods in 2025. These increases were partially offset by lower collection expenses in both periods compared to the same periods in 2025.</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Impairment on goodwill. </w:t>
      </w:r>
      <w:r>
        <w:rPr>
          <w:rFonts w:ascii="Times New Roman" w:cs="Times New Roman" w:eastAsia="Times New Roman" w:hAnsi="Times New Roman"/>
          <w:sz w:val="14"/>
          <w:szCs w:val="14"/>
          <w:color w:val="auto"/>
        </w:rPr>
        <w:t>As mentioned previously, the Company recognized $154.0 million of goodwill impairment expense during the first quarter of 2025 in its Banking reporting unit.</w:t>
      </w:r>
    </w:p>
    <w:p>
      <w:pPr>
        <w:spacing w:after="0" w:line="179"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expense. </w:t>
      </w:r>
      <w:r>
        <w:rPr>
          <w:rFonts w:ascii="Times New Roman" w:cs="Times New Roman" w:eastAsia="Times New Roman" w:hAnsi="Times New Roman"/>
          <w:sz w:val="14"/>
          <w:szCs w:val="14"/>
          <w:color w:val="auto"/>
        </w:rPr>
        <w:t>Other expense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12529"/>
        </w:rPr>
        <w:t>$0.8 million and $1.3 million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and nine months ended September 30, 2026</w:t>
      </w:r>
      <w:r>
        <w:rPr>
          <w:rFonts w:ascii="Times New Roman" w:cs="Times New Roman" w:eastAsia="Times New Roman" w:hAnsi="Times New Roman"/>
          <w:sz w:val="14"/>
          <w:szCs w:val="14"/>
          <w:color w:val="212529"/>
        </w:rPr>
        <w:t>, respectively, compared to the same periods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driven by interest paid to the IRS associated with amended tax returns filed in connection with the restatement of prior period financial statements and higher debit card dispute-related losses.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 Expense. </w:t>
      </w:r>
      <w:r>
        <w:rPr>
          <w:rFonts w:ascii="Times New Roman" w:cs="Times New Roman" w:eastAsia="Times New Roman" w:hAnsi="Times New Roman"/>
          <w:sz w:val="14"/>
          <w:szCs w:val="14"/>
          <w:color w:val="auto"/>
        </w:rPr>
        <w:t>Income tax expense was $6.6 million and $18.1 million for the three and nine months ended September 30, 2026, respectively, compared to $3.8 million and $9.8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same periods in 2025. Effective tax rates were 22.4% and 22.9% for the three and nine months ended September 30, 2026, respectively, compared to 33.2% and 23.1% for the same periods in 2025. The effective tax rate calculation for the nine months ended September 30, 2025, excludes the goodwill impairment charge of $154.0 million, as this item is not deductible for tax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Assets. </w:t>
      </w:r>
      <w:r>
        <w:rPr>
          <w:rFonts w:ascii="Times New Roman" w:cs="Times New Roman" w:eastAsia="Times New Roman" w:hAnsi="Times New Roman"/>
          <w:sz w:val="14"/>
          <w:szCs w:val="14"/>
          <w:color w:val="auto"/>
        </w:rPr>
        <w:t>Total assets were $6.82 billion at September 30, 2026, compared to $6.51 billion at December 31, 2025.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The loan portfolio is the largest category of our assets. The principal segments of our loan portfolio are discussed below:</w:t>
      </w:r>
    </w:p>
    <w:p>
      <w:pPr>
        <w:spacing w:after="0" w:line="179"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Commercial loans. </w:t>
      </w:r>
      <w:r>
        <w:rPr>
          <w:rFonts w:ascii="Times New Roman" w:cs="Times New Roman" w:eastAsia="Times New Roman" w:hAnsi="Times New Roman"/>
          <w:sz w:val="14"/>
          <w:szCs w:val="14"/>
          <w:color w:val="auto"/>
        </w:rPr>
        <w:t>We provide a mix of variable and fixed rate commercial loans. The loans are typically made to small and medium-sized manufacturing, wholesale, retail and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businesses for working capital needs, business expansions and farm operations. Commercial loans generally include lines of credit and loans with maturities of five years or less. The loans are generally made with business operations as the primary source of repayment, but may also include collateralization by inventory, accounts receivable and equipment, and generally include personal guarantees. The commercial loan category also includes loans originated by the equipment financing business that are secured by the underlying equipment, of which we sold substantially all of our equipment finance portfolio during the fourth quarter of 2025.</w:t>
      </w:r>
    </w:p>
    <w:p>
      <w:pPr>
        <w:spacing w:after="0" w:line="14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Commercial real estate loans. </w:t>
      </w:r>
      <w:r>
        <w:rPr>
          <w:rFonts w:ascii="Times New Roman" w:cs="Times New Roman" w:eastAsia="Times New Roman" w:hAnsi="Times New Roman"/>
          <w:sz w:val="14"/>
          <w:szCs w:val="14"/>
          <w:color w:val="auto"/>
        </w:rPr>
        <w:t>Our commercial real estate loans consist of both real estate occupied by the borrower for ongoing operations and non-owner occupied real estate properties.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real estate securing our existing commercial real estate loans includes a wide variety of property types, such as owner occupied offices, warehouses and production facilities, office buildings, hotels, mixed-use residential and commercial facilities, retail centers, multifamily properties, skilled nursing and assisted living facilities. Our commercial real estate loan portfolio also includes farmland loans. Farmland loans are generally made to a borrower actively involved in farming rather than to passive investors.</w:t>
      </w:r>
    </w:p>
    <w:p>
      <w:pPr>
        <w:spacing w:after="0" w:line="138" w:lineRule="exact"/>
        <w:rPr>
          <w:sz w:val="20"/>
          <w:szCs w:val="20"/>
          <w:color w:val="auto"/>
        </w:rPr>
      </w:pPr>
    </w:p>
    <w:p>
      <w:pPr>
        <w:ind w:right="4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Construction and land development loans. </w:t>
      </w:r>
      <w:r>
        <w:rPr>
          <w:rFonts w:ascii="Times New Roman" w:cs="Times New Roman" w:eastAsia="Times New Roman" w:hAnsi="Times New Roman"/>
          <w:sz w:val="14"/>
          <w:szCs w:val="14"/>
          <w:color w:val="auto"/>
        </w:rPr>
        <w:t>Our construction and land development loans are comprised of residential construction, commercial construction and land acquisition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loans. Interest reserves are generally established on real estate construction loans.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Residential real estate loans. </w:t>
      </w:r>
      <w:r>
        <w:rPr>
          <w:rFonts w:ascii="Times New Roman" w:cs="Times New Roman" w:eastAsia="Times New Roman" w:hAnsi="Times New Roman"/>
          <w:sz w:val="14"/>
          <w:szCs w:val="14"/>
          <w:color w:val="auto"/>
        </w:rPr>
        <w:t>Our residential real estate loans are loans secured by residential properties that generally do not qualify for secondary market sale.</w:t>
      </w:r>
    </w:p>
    <w:p>
      <w:pPr>
        <w:spacing w:after="0" w:line="179" w:lineRule="exact"/>
        <w:rPr>
          <w:sz w:val="20"/>
          <w:szCs w:val="20"/>
          <w:color w:val="auto"/>
        </w:rPr>
      </w:pPr>
    </w:p>
    <w:p>
      <w:pPr>
        <w:ind w:right="4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Consumer loans. </w:t>
      </w:r>
      <w:r>
        <w:rPr>
          <w:rFonts w:ascii="Times New Roman" w:cs="Times New Roman" w:eastAsia="Times New Roman" w:hAnsi="Times New Roman"/>
          <w:sz w:val="14"/>
          <w:szCs w:val="14"/>
          <w:color w:val="auto"/>
        </w:rPr>
        <w:t>Our consumer loans include direct personal loans, indirect automobile loans, lines of credit and installment loans originated through home improvement specialty retailers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contractors. Personal loans are generally secured by automobiles, boats and other types of personal property and are made on an installment basis.</w:t>
      </w:r>
    </w:p>
    <w:p>
      <w:pPr>
        <w:spacing w:after="0" w:line="12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Lease financing. </w:t>
      </w:r>
      <w:r>
        <w:rPr>
          <w:rFonts w:ascii="Times New Roman" w:cs="Times New Roman" w:eastAsia="Times New Roman" w:hAnsi="Times New Roman"/>
          <w:sz w:val="14"/>
          <w:szCs w:val="14"/>
          <w:color w:val="auto"/>
        </w:rPr>
        <w:t>Our equipment leasing business historically provided financing leases to varying types of businesses nationwide for purchases of business equipment and software.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financing is secured by a first priority interest in the financed asset and generally requires monthly payments. As previously disclosed, we ceased originating new equipment finance loans and leases effective as of September 30, 2025.</w:t>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balance and associated percentage of each major category in our loan portfolio at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760" w:type="dxa"/>
            <w:vAlign w:val="bottom"/>
            <w:tcBorders>
              <w:bottom w:val="single" w:sz="8" w:color="auto"/>
            </w:tcBorders>
          </w:tcPr>
          <w:p>
            <w:pPr>
              <w:spacing w:after="0"/>
              <w:rPr>
                <w:sz w:val="13"/>
                <w:szCs w:val="13"/>
                <w:color w:val="auto"/>
              </w:rPr>
            </w:pPr>
          </w:p>
        </w:tc>
      </w:tr>
      <w:tr>
        <w:trPr>
          <w:trHeight w:val="160"/>
        </w:trPr>
        <w:tc>
          <w:tcPr>
            <w:tcW w:w="5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00" w:type="dxa"/>
            <w:vAlign w:val="bottom"/>
          </w:tcPr>
          <w:p>
            <w:pPr>
              <w:spacing w:after="0"/>
              <w:rPr>
                <w:sz w:val="13"/>
                <w:szCs w:val="13"/>
                <w:color w:val="auto"/>
              </w:rPr>
            </w:pP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76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76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3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0"/>
        </w:trPr>
        <w:tc>
          <w:tcPr>
            <w:tcW w:w="5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1,183,813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27.6 %   $</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1,178,521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27.1 %</w:t>
            </w:r>
          </w:p>
        </w:tc>
      </w:tr>
      <w:tr>
        <w:trPr>
          <w:trHeight w:val="179"/>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2,332,478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54.5</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2,342,664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53.8</w:t>
            </w:r>
          </w:p>
        </w:tc>
      </w:tr>
      <w:tr>
        <w:trPr>
          <w:trHeight w:val="160"/>
        </w:trPr>
        <w:tc>
          <w:tcPr>
            <w:tcW w:w="5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249,268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286,140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6.6</w:t>
            </w:r>
          </w:p>
        </w:tc>
      </w:tr>
      <w:tr>
        <w:trPr>
          <w:trHeight w:val="179"/>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358,021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349,623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8.0</w:t>
            </w:r>
          </w:p>
        </w:tc>
      </w:tr>
      <w:tr>
        <w:trPr>
          <w:trHeight w:val="160"/>
        </w:trPr>
        <w:tc>
          <w:tcPr>
            <w:tcW w:w="55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128,909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144,075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w:t>
            </w:r>
          </w:p>
        </w:tc>
      </w:tr>
      <w:tr>
        <w:trPr>
          <w:trHeight w:val="179"/>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Lease financing</w:t>
            </w:r>
          </w:p>
        </w:tc>
        <w:tc>
          <w:tcPr>
            <w:tcW w:w="3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30,339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0.7</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50,981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w:t>
            </w:r>
          </w:p>
        </w:tc>
      </w:tr>
      <w:tr>
        <w:trPr>
          <w:trHeight w:val="151"/>
        </w:trPr>
        <w:tc>
          <w:tcPr>
            <w:tcW w:w="55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loans, gross</w:t>
            </w: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4,282,828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4,352,004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70"/>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on loans</w:t>
            </w: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0"/>
        </w:trPr>
        <w:tc>
          <w:tcPr>
            <w:tcW w:w="55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loans, net</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4,221,976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4,282,785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Total gross loans decreased $69.2 million, or 1.6%, to $4.28 billion at September 30, 2026, compared to December 31, 2025. The loan portfolio mix remained relatively stable by category during the first nine months of 2026, while continuing to shift toward community bank relationships as anticipated runoff occurred in the non-core portfolios.</w:t>
      </w:r>
    </w:p>
    <w:p>
      <w:pPr>
        <w:spacing w:after="0" w:line="124"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present our outstanding loans by business sector at September 30, 2026 and December 31, 2025. The Company's loan portfolio is assigned to the following internal business sectors:</w:t>
      </w:r>
    </w:p>
    <w:p>
      <w:pPr>
        <w:spacing w:after="0" w:line="122"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Community bank </w:t>
      </w:r>
      <w:r>
        <w:rPr>
          <w:rFonts w:ascii="Times New Roman" w:cs="Times New Roman" w:eastAsia="Times New Roman" w:hAnsi="Times New Roman"/>
          <w:sz w:val="14"/>
          <w:szCs w:val="14"/>
          <w:color w:val="auto"/>
        </w:rPr>
        <w:t>represents predominately in-market loans originated through our banking center network.</w:t>
      </w:r>
    </w:p>
    <w:p>
      <w:pPr>
        <w:spacing w:after="0" w:line="178" w:lineRule="exact"/>
        <w:rPr>
          <w:rFonts w:ascii="Times New Roman" w:cs="Times New Roman" w:eastAsia="Times New Roman" w:hAnsi="Times New Roman"/>
          <w:sz w:val="14"/>
          <w:szCs w:val="14"/>
          <w:color w:val="auto"/>
        </w:rPr>
      </w:pPr>
    </w:p>
    <w:p>
      <w:pPr>
        <w:jc w:val="both"/>
        <w:ind w:left="760" w:right="300" w:hanging="246"/>
        <w:spacing w:after="0" w:line="271"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Specialty finance </w:t>
      </w:r>
      <w:r>
        <w:rPr>
          <w:rFonts w:ascii="Times New Roman" w:cs="Times New Roman" w:eastAsia="Times New Roman" w:hAnsi="Times New Roman"/>
          <w:sz w:val="14"/>
          <w:szCs w:val="14"/>
          <w:color w:val="auto"/>
        </w:rPr>
        <w:t>historically provided nationwide bridge financing for FHA and HUD developments, primarily multi-family, assisted and senior living and multi-use properties,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borrowers prior to obtaining permanent financing. The Company ceased originating new construction loans in the fourth quarter of 2024. Specialty finance also includes tax credit lending.</w:t>
      </w:r>
    </w:p>
    <w:p>
      <w:pPr>
        <w:spacing w:after="0" w:line="133" w:lineRule="exact"/>
        <w:rPr>
          <w:rFonts w:ascii="Times New Roman" w:cs="Times New Roman" w:eastAsia="Times New Roman" w:hAnsi="Times New Roman"/>
          <w:sz w:val="14"/>
          <w:szCs w:val="14"/>
          <w:color w:val="auto"/>
        </w:rPr>
      </w:pPr>
    </w:p>
    <w:p>
      <w:pPr>
        <w:ind w:left="760" w:right="280" w:hanging="246"/>
        <w:spacing w:after="0" w:line="290"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Non-core and other </w:t>
      </w:r>
      <w:r>
        <w:rPr>
          <w:rFonts w:ascii="Times New Roman" w:cs="Times New Roman" w:eastAsia="Times New Roman" w:hAnsi="Times New Roman"/>
          <w:sz w:val="14"/>
          <w:szCs w:val="14"/>
          <w:color w:val="auto"/>
        </w:rPr>
        <w:t>includes our third-party origination and servicing programs, our remaining equipment finance portfolio of loans and leases and capital market credits,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loans to finance the sale of the GreenSky portfolio.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24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380" w:type="dxa"/>
            <w:vAlign w:val="bottom"/>
          </w:tcPr>
          <w:p>
            <w:pPr>
              <w:spacing w:after="0"/>
              <w:rPr>
                <w:sz w:val="13"/>
                <w:szCs w:val="13"/>
                <w:color w:val="auto"/>
              </w:rPr>
            </w:pPr>
          </w:p>
        </w:tc>
        <w:tc>
          <w:tcPr>
            <w:tcW w:w="126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707,942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282,184</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193,687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1,183,813</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2,051,609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276,118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2,332,478</w:t>
            </w:r>
          </w:p>
        </w:tc>
      </w:tr>
      <w:tr>
        <w:trPr>
          <w:trHeight w:val="17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249,257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249,268</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340,442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15,779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358,021</w:t>
            </w:r>
          </w:p>
        </w:tc>
      </w:tr>
      <w:tr>
        <w:trPr>
          <w:trHeight w:val="17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51,180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128,909</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30,339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30,339</w:t>
            </w:r>
          </w:p>
        </w:tc>
      </w:tr>
      <w:tr>
        <w:trPr>
          <w:trHeight w:val="195"/>
        </w:trPr>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3,426,979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560,102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295,747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4,282,828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24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380" w:type="dxa"/>
            <w:vAlign w:val="bottom"/>
          </w:tcPr>
          <w:p>
            <w:pPr>
              <w:spacing w:after="0"/>
              <w:rPr>
                <w:sz w:val="13"/>
                <w:szCs w:val="13"/>
                <w:color w:val="auto"/>
              </w:rPr>
            </w:pPr>
          </w:p>
        </w:tc>
        <w:tc>
          <w:tcPr>
            <w:tcW w:w="126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688,277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248,112</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242,132</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1,178,521</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1,979,383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358,457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2,342,664</w:t>
            </w:r>
          </w:p>
        </w:tc>
      </w:tr>
      <w:tr>
        <w:trPr>
          <w:trHeight w:val="17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226,295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59,832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286,140</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344,523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349,623</w:t>
            </w:r>
          </w:p>
        </w:tc>
      </w:tr>
      <w:tr>
        <w:trPr>
          <w:trHeight w:val="17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54,326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144,075</w:t>
            </w:r>
          </w:p>
        </w:tc>
      </w:tr>
      <w:tr>
        <w:trPr>
          <w:trHeight w:val="16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50,981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50,981</w:t>
            </w:r>
          </w:p>
        </w:tc>
      </w:tr>
      <w:tr>
        <w:trPr>
          <w:trHeight w:val="195"/>
        </w:trPr>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3,328,227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668,183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355,594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4,352,004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community bank portfolio increased $98.8 million, or 3.0%, between December 31, 2025 and September 30, 2026. This growth was more than offset by anticipated runoff in the specialty finance and non-core and other portfolios of $108.1 million and $59.8 million, respectively.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the contractual maturities of our loan portfolio and the distribution between fixed and adjustable interest rate loans at September 30, 2026: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Within One Year</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One Year to Five Years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Five Years to 15 Years</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After 15 Years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0" w:type="dxa"/>
            <w:vAlign w:val="bottom"/>
          </w:tcPr>
          <w:p>
            <w:pPr>
              <w:spacing w:after="0"/>
              <w:rPr>
                <w:sz w:val="10"/>
                <w:szCs w:val="10"/>
                <w:color w:val="auto"/>
              </w:rPr>
            </w:pPr>
          </w:p>
        </w:tc>
        <w:tc>
          <w:tcPr>
            <w:tcW w:w="7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Adjustable</w:t>
            </w:r>
          </w:p>
        </w:tc>
        <w:tc>
          <w:tcPr>
            <w:tcW w:w="140" w:type="dxa"/>
            <w:vAlign w:val="bottom"/>
          </w:tcPr>
          <w:p>
            <w:pPr>
              <w:spacing w:after="0"/>
              <w:rPr>
                <w:sz w:val="10"/>
                <w:szCs w:val="10"/>
                <w:color w:val="auto"/>
              </w:rPr>
            </w:pPr>
          </w:p>
        </w:tc>
        <w:tc>
          <w:tcPr>
            <w:tcW w:w="82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63"/>
              <w:spacing w:after="0" w:line="117" w:lineRule="exact"/>
              <w:rPr>
                <w:sz w:val="20"/>
                <w:szCs w:val="20"/>
                <w:color w:val="auto"/>
              </w:rPr>
            </w:pPr>
            <w:r>
              <w:rPr>
                <w:rFonts w:ascii="Times New Roman" w:cs="Times New Roman" w:eastAsia="Times New Roman" w:hAnsi="Times New Roman"/>
                <w:sz w:val="11"/>
                <w:szCs w:val="11"/>
                <w:b w:val="1"/>
                <w:bCs w:val="1"/>
                <w:color w:val="auto"/>
              </w:rPr>
              <w:t>Adjustable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1"/>
                <w:szCs w:val="11"/>
                <w:b w:val="1"/>
                <w:bCs w:val="1"/>
                <w:color w:val="auto"/>
              </w:rPr>
              <w:t>Adjustable</w:t>
            </w:r>
          </w:p>
        </w:tc>
        <w:tc>
          <w:tcPr>
            <w:tcW w:w="140" w:type="dxa"/>
            <w:vAlign w:val="bottom"/>
          </w:tcPr>
          <w:p>
            <w:pPr>
              <w:spacing w:after="0"/>
              <w:rPr>
                <w:sz w:val="10"/>
                <w:szCs w:val="10"/>
                <w:color w:val="auto"/>
              </w:rPr>
            </w:pPr>
          </w:p>
        </w:tc>
        <w:tc>
          <w:tcPr>
            <w:tcW w:w="7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Adjustable</w:t>
            </w:r>
          </w:p>
        </w:tc>
        <w:tc>
          <w:tcPr>
            <w:tcW w:w="240" w:type="dxa"/>
            <w:vAlign w:val="bottom"/>
          </w:tcPr>
          <w:p>
            <w:pPr>
              <w:spacing w:after="0"/>
              <w:rPr>
                <w:sz w:val="10"/>
                <w:szCs w:val="10"/>
                <w:color w:val="auto"/>
              </w:rPr>
            </w:pPr>
          </w:p>
        </w:tc>
        <w:tc>
          <w:tcPr>
            <w:tcW w:w="82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0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Rate</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210,894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107,910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163,567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124,957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1,183,813</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442,315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797,062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388,423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222,423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277,785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2,332,478</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41,946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43,203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92,277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18,340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249,268</w:t>
            </w:r>
          </w:p>
        </w:tc>
        <w:tc>
          <w:tcPr>
            <w:tcW w:w="0" w:type="dxa"/>
            <w:vAlign w:val="bottom"/>
          </w:tcPr>
          <w:p>
            <w:pPr>
              <w:spacing w:after="0"/>
              <w:rPr>
                <w:sz w:val="1"/>
                <w:szCs w:val="1"/>
                <w:color w:val="auto"/>
              </w:rPr>
            </w:pPr>
          </w:p>
        </w:tc>
      </w:tr>
      <w:tr>
        <w:trPr>
          <w:trHeight w:val="151"/>
        </w:trPr>
        <w:tc>
          <w:tcPr>
            <w:tcW w:w="2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commercial loans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581,092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668,396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1,051,159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588,610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396,720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421,082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3,765,559</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45,075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177,894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358,021</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58,712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128,909</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24,858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30,339</w:t>
            </w:r>
          </w:p>
        </w:tc>
        <w:tc>
          <w:tcPr>
            <w:tcW w:w="0" w:type="dxa"/>
            <w:vAlign w:val="bottom"/>
          </w:tcPr>
          <w:p>
            <w:pPr>
              <w:spacing w:after="0"/>
              <w:rPr>
                <w:sz w:val="1"/>
                <w:szCs w:val="1"/>
                <w:color w:val="auto"/>
              </w:rPr>
            </w:pPr>
          </w:p>
        </w:tc>
      </w:tr>
      <w:tr>
        <w:trPr>
          <w:trHeight w:val="170"/>
        </w:trPr>
        <w:tc>
          <w:tcPr>
            <w:tcW w:w="2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loans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606,403</w:t>
            </w:r>
          </w:p>
        </w:tc>
        <w:tc>
          <w:tcPr>
            <w:tcW w:w="8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686,550</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1,140,740</w:t>
            </w:r>
          </w:p>
        </w:tc>
        <w:tc>
          <w:tcPr>
            <w:tcW w:w="1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607,953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452,579</w:t>
            </w:r>
          </w:p>
        </w:tc>
        <w:tc>
          <w:tcPr>
            <w:tcW w:w="1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471,746</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182,953</w:t>
            </w:r>
          </w:p>
        </w:tc>
        <w:tc>
          <w:tcPr>
            <w:tcW w:w="10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133,904</w:t>
            </w:r>
          </w:p>
        </w:tc>
        <w:tc>
          <w:tcPr>
            <w:tcW w:w="10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4,282,828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Loan Quality</w:t>
      </w:r>
    </w:p>
    <w:p>
      <w:pPr>
        <w:spacing w:after="0" w:line="9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4"/>
          <w:szCs w:val="14"/>
          <w:color w:val="auto"/>
        </w:rPr>
        <w:t>We use what we believe is a comprehensive methodology to monitor credit quality and prudently manage credit concentration within our loan portfolio. Our underwriting policies and practices govern the risk profile, credit and geographic concentration for our loan portfolio. We also have what we believe to be a comprehensive methodology to monitor these credit quality standards, including a risk classification system that identifies potential problem loans based on risk characteristics by loan type as well as the early identification of deterioration at the individual loan level.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Analysis of the Allowance for Credit Losses on Loans. </w:t>
      </w:r>
      <w:r>
        <w:rPr>
          <w:rFonts w:ascii="Times New Roman" w:cs="Times New Roman" w:eastAsia="Times New Roman" w:hAnsi="Times New Roman"/>
          <w:sz w:val="14"/>
          <w:szCs w:val="14"/>
          <w:color w:val="auto"/>
        </w:rPr>
        <w:t>The allowance for credit losses on loans was $60.9 million, or 1.42% of total loans, at September 30, 2026, compared to $69.2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1.59% of total loans, at December 31, 2025. The following table allocates the allowance for credit losses on loans by loan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w w:val="96"/>
              </w:rPr>
              <w:t xml:space="preserve">Percent </w:t>
            </w:r>
            <w:r>
              <w:rPr>
                <w:rFonts w:ascii="Times New Roman" w:cs="Times New Roman" w:eastAsia="Times New Roman" w:hAnsi="Times New Roman"/>
                <w:sz w:val="14"/>
                <w:szCs w:val="14"/>
                <w:b w:val="1"/>
                <w:bCs w:val="1"/>
                <w:color w:val="auto"/>
                <w:w w:val="96"/>
                <w:vertAlign w:val="superscript"/>
              </w:rPr>
              <w:t>(1)</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 xml:space="preserve">Percent </w:t>
            </w:r>
            <w:r>
              <w:rPr>
                <w:rFonts w:ascii="Times New Roman" w:cs="Times New Roman" w:eastAsia="Times New Roman" w:hAnsi="Times New Roman"/>
                <w:sz w:val="14"/>
                <w:szCs w:val="14"/>
                <w:b w:val="1"/>
                <w:bCs w:val="1"/>
                <w:color w:val="auto"/>
                <w:vertAlign w:val="superscript"/>
              </w:rPr>
              <w:t>(1)</w:t>
            </w:r>
          </w:p>
        </w:tc>
      </w:tr>
      <w:tr>
        <w:trPr>
          <w:trHeight w:val="16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24,148</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2.04 %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23,676</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2.01 %</w:t>
            </w:r>
          </w:p>
        </w:tc>
      </w:tr>
      <w:tr>
        <w:trPr>
          <w:trHeight w:val="160"/>
        </w:trPr>
        <w:tc>
          <w:tcPr>
            <w:tcW w:w="6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24,392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28,284</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1.21</w:t>
            </w:r>
          </w:p>
        </w:tc>
      </w:tr>
      <w:tr>
        <w:trPr>
          <w:trHeight w:val="17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0.78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2,619</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0.92</w:t>
            </w:r>
          </w:p>
        </w:tc>
      </w:tr>
      <w:tr>
        <w:trPr>
          <w:trHeight w:val="151"/>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commercial loans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50,474</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54,579</w:t>
            </w:r>
          </w:p>
        </w:tc>
        <w:tc>
          <w:tcPr>
            <w:tcW w:w="130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1"/>
                <w:szCs w:val="11"/>
                <w:color w:val="auto"/>
              </w:rPr>
              <w:t>1.43</w:t>
            </w:r>
          </w:p>
        </w:tc>
      </w:tr>
      <w:tr>
        <w:trPr>
          <w:trHeight w:val="17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4,768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1.90</w:t>
            </w:r>
          </w:p>
        </w:tc>
      </w:tr>
      <w:tr>
        <w:trPr>
          <w:trHeight w:val="160"/>
        </w:trPr>
        <w:tc>
          <w:tcPr>
            <w:tcW w:w="6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3,757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4,804</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3.33</w:t>
            </w:r>
          </w:p>
        </w:tc>
      </w:tr>
      <w:tr>
        <w:trPr>
          <w:trHeight w:val="17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1,853</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6.11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3,184</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6.25</w:t>
            </w:r>
          </w:p>
        </w:tc>
      </w:tr>
      <w:tr>
        <w:trPr>
          <w:trHeight w:val="170"/>
        </w:trPr>
        <w:tc>
          <w:tcPr>
            <w:tcW w:w="6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allowance for credit losses on loans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60,852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1.42 %</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69,219</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1.59 %</w:t>
            </w: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percentage of the allowance to total loans in the respective category.</w:t>
      </w:r>
    </w:p>
    <w:p>
      <w:pPr>
        <w:spacing w:after="0" w:line="173"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We measure expected credit losses over the life of each loan utilizing a combination of models which measure probability of default and loss given default, among other things. The measurement of expected credit losses is impacted by loan and borrower attributes and certain macroeconomic variables. Models are adjusted to reflect the impact of certain current macroeconomic variables as well as their expected changes over a reasonable and supportable forecast period.</w:t>
      </w:r>
    </w:p>
    <w:p>
      <w:pPr>
        <w:spacing w:after="0" w:line="13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In estimating expected credit losses as of September 30, 2026, we incorporated certain macroeconomic variables from the third quarter 2026 Capital Economics forecast into our credit loss models. The forecasted projections included, among other things, (i) Illinois gross domestic product ranging from 1.4% to 1.7% over the next four quarters; (ii) the 10-year treasury rate averaging 4.4% over the next four quarters; and (iii) Illinois unemployment rate averaging 4.5% through the third quarter of 2027.</w:t>
      </w:r>
    </w:p>
    <w:p>
      <w:pPr>
        <w:spacing w:after="0" w:line="13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We qualitatively adjust the model results based on this scenario for various risk factors that are not considered within our modeling processes but are nonetheless relevant in assessing the expected credit losses within our loan pools. These qualitative adjustments are based upon management judgment and current assessment as to the impact of risks related to changes in lending policies and procedures; economic and business conditions; loan portfolio attributes and credit concentrations; and external factors, among other things, that are not already fully captured within the modeling inputs, assumptions and other processes. Management assesses the potential impact of such items within a range of severely negative impact to positive impact and adjusts the modeled expected credit loss by an aggregate adjustment percentage based upon the assessment. The qualitative factor adjustment at September 30, 2026, was approximately 45 basis points of total loans, decreasing from 57 basis points at December 31, 2025. The reduction primarily reflected continued improvement in portfolio credit quality and management's assessment that certain risks requiring qualitative adjustments have moderated since December 31, 2025.</w:t>
      </w:r>
    </w:p>
    <w:p>
      <w:pPr>
        <w:spacing w:after="0" w:line="14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allowance for credit losses declined during the first nine months of 2026 primarily due to charge-offs of previously reserved relationships, continued runoff within certain higher-risk loan portfolios, lower modeled expected credit losses resulting from updated portfolio characteristics and macroeconomic assumptions, and a reduction in qualitative adjustments reflecting continued improvement in portfolio credit quality. These decreases were partially offset by reserves established for loan growth.</w:t>
      </w:r>
    </w:p>
    <w:p>
      <w:pPr>
        <w:spacing w:after="0" w:line="136"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The allowance allocated to commercial loans totaled $24.1 million, or 2.04% of commercial loans, at September 30, 2026, compared to $23.7 million, or 2.01%, at December 31, 2025. Commercial loan balances increased $5.3 million, or 0.4%, during the first nine months of 2026. Modeled expected credit losses increased $0.9 million, while qualitative factor adjustments decreased $0.8 million. Specific allocations for loans that were individually evaluated increased $0.4 million.</w:t>
      </w:r>
    </w:p>
    <w:p>
      <w:pPr>
        <w:spacing w:after="0" w:line="13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allowance allocated to commercial real estate loans totaled $24.4 million, or 1.05% of commercial real estate loans, at September 30, 2026, compared to $28.3 million, or 1.21%, at December 31, 2025. Commercial real estate loan balances decreased $10.2 million, or 0.4%, during the first nine months of 2026. Net charge-offs were $14.8 million for the first nine months of 2026, including $11.8 million of charge-offs in connection with the execution of a resolution strategy for a previously identified nonperforming commercial real estate relationship. Excluding the effect of charge-offs, modeled expected credit losses increased $0.3 million and qualitative factor adjustments decreased $3.8 million. Specific allocations for loans that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were individually evaluated decreased $0.4 million. The commercial real estate portfolio does not include significant exposure to urban office properties.</w:t>
      </w:r>
    </w:p>
    <w:p>
      <w:pPr>
        <w:spacing w:after="0" w:line="179"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allowance allocated to construction and land development loans totaled $1.9 million, or 0.78% of construction and land development loans, at September 30, 2026, compared to $2.6 million, or 0.92%, at December 31, 2025. Construction and land development loan balances decreased $36.9 million, or 12.9%, during the first nine months of 2026. Modeled expected credit losses decreased $0.2 million and qualitative factor adjustments decreased $0.5 million. There were no specific allocations for construction loans that were evaluated for expected credit losses on an individual basis at September 30, 2026 or December 31, 2025.</w:t>
      </w:r>
    </w:p>
    <w:p>
      <w:pPr>
        <w:spacing w:after="0" w:line="140"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The allowance allocated to residential real estate loans totaled $4.8 million, or 1.33% of residential real estate loans, at September 30, 2026, compared to $6.7 million, or 1.90%, at December 31, 2025. Modeled expected credit losses decreased $1.7 million and qualitative factor adjustments decreased $0.2 million. There were no specific allocations for residential real estate loans that were evaluated for expected credit losses on an individual basis at September 30, 2026, or December 31, 2025.</w:t>
      </w:r>
    </w:p>
    <w:p>
      <w:pPr>
        <w:spacing w:after="0" w:line="13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allowance allocated to consumer loans totaled $3.8 million, or 2.91% of consumer loans, at September 30, 2026, compared to $4.8 million, or 3.33%, at December 31, 2025. Consumer loan balances decreased $15.2 million, or 10.5%, during the first nine months of 2026. Modeled expected credit losses decreased $1.1 million.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allowance allocated to the lease portfolio totaled $1.9 million, or 6.11% of commercial leases, at September 30, 2026, compared to $3.2 million, or 6.25%, at December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Commercial lease balances decreased $20.6 million, or 40.5%, during the first nine months of 2026. The Company ceased originating leases in September 2025.</w:t>
      </w:r>
    </w:p>
    <w:p>
      <w:pPr>
        <w:spacing w:after="0" w:line="164"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an analysis of the allowance for credit losses on loans, provision for credit losses on loans and net charge-offs for the three and nine months ended September 30,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40" w:type="dxa"/>
            <w:vAlign w:val="bottom"/>
          </w:tcPr>
          <w:p>
            <w:pPr>
              <w:spacing w:after="0"/>
              <w:rPr>
                <w:sz w:val="13"/>
                <w:szCs w:val="13"/>
                <w:color w:val="auto"/>
              </w:rPr>
            </w:pPr>
          </w:p>
        </w:tc>
        <w:tc>
          <w:tcPr>
            <w:tcW w:w="2720" w:type="dxa"/>
            <w:vAlign w:val="bottom"/>
            <w:gridSpan w:val="4"/>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beginning of period</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62,519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92,690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69,219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111,204</w:t>
            </w:r>
          </w:p>
        </w:tc>
      </w:tr>
      <w:tr>
        <w:trPr>
          <w:trHeight w:val="16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Charge-offs: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4,301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7,744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23,762</w:t>
            </w: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3,296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3,798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15,963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26,974</w:t>
            </w: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2,901</w:t>
            </w: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126</w:t>
            </w: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2,234</w:t>
            </w:r>
          </w:p>
        </w:tc>
      </w:tr>
      <w:tr>
        <w:trPr>
          <w:trHeight w:val="16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Lease financing</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1,072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4,088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2,143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11,422</w:t>
            </w:r>
          </w:p>
        </w:tc>
      </w:tr>
      <w:tr>
        <w:trPr>
          <w:trHeight w:val="1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charge-offs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7,520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16,039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28,429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67,419</w:t>
            </w:r>
          </w:p>
        </w:tc>
      </w:tr>
      <w:tr>
        <w:trPr>
          <w:trHeight w:val="14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Recoveries: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2,829</w:t>
            </w: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829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1,212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1,133</w:t>
            </w: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2,152</w:t>
            </w:r>
          </w:p>
        </w:tc>
      </w:tr>
      <w:tr>
        <w:trPr>
          <w:trHeight w:val="160"/>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162</w:t>
            </w:r>
          </w:p>
        </w:tc>
      </w:tr>
      <w:tr>
        <w:trPr>
          <w:trHeight w:val="17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508</w:t>
            </w:r>
          </w:p>
        </w:tc>
      </w:tr>
      <w:tr>
        <w:trPr>
          <w:trHeight w:val="16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Lease financing</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1,593</w:t>
            </w:r>
          </w:p>
        </w:tc>
      </w:tr>
      <w:tr>
        <w:trPr>
          <w:trHeight w:val="1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recoveries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2,168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3,730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3,865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8,377</w:t>
            </w:r>
          </w:p>
        </w:tc>
      </w:tr>
      <w:tr>
        <w:trPr>
          <w:trHeight w:val="15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charge-offs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5,352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12,309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24,564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59,042</w:t>
            </w:r>
          </w:p>
        </w:tc>
      </w:tr>
      <w:tr>
        <w:trPr>
          <w:trHeight w:val="16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3,685</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20,505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16,197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48,724</w:t>
            </w:r>
          </w:p>
        </w:tc>
      </w:tr>
      <w:tr>
        <w:trPr>
          <w:trHeight w:val="17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end of period</w:t>
            </w: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60,852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100,886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60,852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100,886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loans, end of period</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4,282,828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4,867,587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4,282,828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4,867,587</w:t>
            </w:r>
          </w:p>
        </w:tc>
      </w:tr>
      <w:tr>
        <w:trPr>
          <w:trHeight w:val="16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total loans</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4,235,206</w:t>
            </w:r>
          </w:p>
        </w:tc>
        <w:tc>
          <w:tcPr>
            <w:tcW w:w="10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4,947,675</w:t>
            </w:r>
          </w:p>
        </w:tc>
        <w:tc>
          <w:tcPr>
            <w:tcW w:w="10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4,252,495</w:t>
            </w:r>
          </w:p>
        </w:tc>
        <w:tc>
          <w:tcPr>
            <w:tcW w:w="10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5,042,365</w:t>
            </w:r>
          </w:p>
        </w:tc>
      </w:tr>
      <w:tr>
        <w:trPr>
          <w:trHeight w:val="17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charge-offs to average loans (annualized)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0.50 %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0.99 %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1.57 %</w:t>
            </w:r>
          </w:p>
        </w:tc>
      </w:tr>
      <w:tr>
        <w:trPr>
          <w:trHeight w:val="151"/>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2.07 %</w:t>
            </w: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Individual loans considered to be uncollectible are charged-off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 Charge-offs are generally taken on loans when the collectability of a loan balance is unlikely. Recoveries on loans previously charged-off are added to the allowance.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charge-offs by business sector for the three months ended 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24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 charge-offs</w:t>
            </w:r>
          </w:p>
        </w:tc>
      </w:tr>
      <w:tr>
        <w:trPr>
          <w:trHeight w:val="17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2,118</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3,278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3,296</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w:t>
            </w:r>
          </w:p>
        </w:tc>
      </w:tr>
      <w:tr>
        <w:trPr>
          <w:trHeight w:val="19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6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 charge-offs</w:t>
            </w:r>
          </w:p>
        </w:tc>
      </w:tr>
      <w:tr>
        <w:trPr>
          <w:trHeight w:val="17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4,301</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1,797</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3,798</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4,088</w:t>
            </w:r>
          </w:p>
        </w:tc>
      </w:tr>
      <w:tr>
        <w:trPr>
          <w:trHeight w:val="19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16,039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charge-offs by business sector for nine months ended September 30,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24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240" w:type="dxa"/>
            <w:vAlign w:val="bottom"/>
          </w:tcPr>
          <w:p>
            <w:pPr>
              <w:spacing w:after="0"/>
              <w:rPr>
                <w:sz w:val="13"/>
                <w:szCs w:val="13"/>
                <w:color w:val="auto"/>
              </w:rPr>
            </w:pPr>
          </w:p>
        </w:tc>
        <w:tc>
          <w:tcPr>
            <w:tcW w:w="140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 charge-offs</w:t>
            </w:r>
          </w:p>
        </w:tc>
      </w:tr>
      <w:tr>
        <w:trPr>
          <w:trHeight w:val="17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7,744</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15,945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15,963</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2,462</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2,143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2,143</w:t>
            </w:r>
          </w:p>
        </w:tc>
      </w:tr>
      <w:tr>
        <w:trPr>
          <w:trHeight w:val="19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28,429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Community bank</w:t>
            </w:r>
          </w:p>
        </w:tc>
        <w:tc>
          <w:tcPr>
            <w:tcW w:w="24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Specialty finance</w:t>
            </w: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Non-core and other</w:t>
            </w:r>
          </w:p>
        </w:tc>
        <w:tc>
          <w:tcPr>
            <w:tcW w:w="240" w:type="dxa"/>
            <w:vAlign w:val="bottom"/>
          </w:tcPr>
          <w:p>
            <w:pPr>
              <w:spacing w:after="0"/>
              <w:rPr>
                <w:sz w:val="13"/>
                <w:szCs w:val="13"/>
                <w:color w:val="auto"/>
              </w:rPr>
            </w:pPr>
          </w:p>
        </w:tc>
        <w:tc>
          <w:tcPr>
            <w:tcW w:w="140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 charge-offs</w:t>
            </w:r>
          </w:p>
        </w:tc>
      </w:tr>
      <w:tr>
        <w:trPr>
          <w:trHeight w:val="17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23,487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23,762</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11,366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26,974</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2,901</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tcPr>
          <w:p>
            <w:pPr>
              <w:spacing w:after="0"/>
              <w:rPr>
                <w:sz w:val="13"/>
                <w:szCs w:val="13"/>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7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2,234</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11,422</w:t>
            </w:r>
          </w:p>
        </w:tc>
      </w:tr>
      <w:tr>
        <w:trPr>
          <w:trHeight w:val="195"/>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67,419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60" w:firstLine="509"/>
        <w:spacing w:after="0" w:line="243" w:lineRule="auto"/>
        <w:rPr>
          <w:sz w:val="20"/>
          <w:szCs w:val="20"/>
          <w:color w:val="auto"/>
        </w:rPr>
      </w:pPr>
      <w:r>
        <w:rPr>
          <w:rFonts w:ascii="Times New Roman" w:cs="Times New Roman" w:eastAsia="Times New Roman" w:hAnsi="Times New Roman"/>
          <w:sz w:val="14"/>
          <w:szCs w:val="14"/>
          <w:color w:val="auto"/>
        </w:rPr>
        <w:t xml:space="preserve">Charge-offs for the three and nine months ended September 30, 2026 were $7.5 million and $28.4 million, respectively, compared to $16.0 million and $67.4 million </w:t>
      </w:r>
      <w:r>
        <w:rPr>
          <w:rFonts w:ascii="Times New Roman" w:cs="Times New Roman" w:eastAsia="Times New Roman" w:hAnsi="Times New Roman"/>
          <w:sz w:val="14"/>
          <w:szCs w:val="14"/>
          <w:color w:val="212529"/>
        </w:rPr>
        <w:t>for the same periods in</w:t>
      </w:r>
      <w:r>
        <w:rPr>
          <w:rFonts w:ascii="Times New Roman" w:cs="Times New Roman" w:eastAsia="Times New Roman" w:hAnsi="Times New Roman"/>
          <w:sz w:val="14"/>
          <w:szCs w:val="14"/>
          <w:color w:val="auto"/>
        </w:rPr>
        <w:t xml:space="preserve"> 2025. The community bank commercial real estate charge-offs included $2.1 million and $11.8 million for the three and nine months ended September 30, 2026, respectively, in connection with the execution of a resolution strategy for a previously identified nonperforming relationship and a $2.6 million charge-off for the nine months ended September 30, 2026 related to a loan that was sold in 2026.</w:t>
      </w:r>
    </w:p>
    <w:p>
      <w:pPr>
        <w:spacing w:after="0" w:line="165"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4"/>
          <w:szCs w:val="14"/>
          <w:color w:val="auto"/>
        </w:rPr>
        <w:t>As previously discussed, the Company ceased originations of new construction loans within specialty finance in the fourth quarter of 2024 and sold a significant portion of its non-core consumer lending portfolios and its equipment finance portfolios. These strategic decisions have resulted in the significant decrease of charge-offs in those sectors.</w:t>
      </w:r>
    </w:p>
    <w:p>
      <w:pPr>
        <w:spacing w:after="0" w:line="14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Nonperforming Loans. </w:t>
      </w:r>
      <w:r>
        <w:rPr>
          <w:rFonts w:ascii="Times New Roman" w:cs="Times New Roman" w:eastAsia="Times New Roman" w:hAnsi="Times New Roman"/>
          <w:sz w:val="14"/>
          <w:szCs w:val="14"/>
          <w:color w:val="auto"/>
        </w:rPr>
        <w:t>The following table sets forth our nonperforming assets by asset category as of the dates presented. Nonperforming loans include nonaccrual loans and loans past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90 days or more and still accruing interest. The balance of nonperforming loans reflect the net investment in these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2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20" w:type="dxa"/>
            <w:vAlign w:val="bottom"/>
          </w:tcPr>
          <w:p>
            <w:pPr>
              <w:spacing w:after="0"/>
              <w:rPr>
                <w:sz w:val="13"/>
                <w:szCs w:val="13"/>
                <w:color w:val="auto"/>
              </w:rPr>
            </w:pPr>
          </w:p>
        </w:tc>
        <w:tc>
          <w:tcPr>
            <w:tcW w:w="14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Nonperforming loans:</w:t>
            </w:r>
          </w:p>
        </w:tc>
        <w:tc>
          <w:tcPr>
            <w:tcW w:w="2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60"/>
        </w:trPr>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15,199</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14,925</w:t>
            </w:r>
          </w:p>
        </w:tc>
      </w:tr>
      <w:tr>
        <w:trPr>
          <w:trHeight w:val="17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37,386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45,333</w:t>
            </w:r>
          </w:p>
        </w:tc>
      </w:tr>
      <w:tr>
        <w:trPr>
          <w:trHeight w:val="160"/>
        </w:trPr>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155</w:t>
            </w:r>
          </w:p>
        </w:tc>
      </w:tr>
      <w:tr>
        <w:trPr>
          <w:trHeight w:val="17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4,593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3,861</w:t>
            </w:r>
          </w:p>
        </w:tc>
      </w:tr>
      <w:tr>
        <w:trPr>
          <w:trHeight w:val="160"/>
        </w:trPr>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47</w:t>
            </w:r>
          </w:p>
        </w:tc>
      </w:tr>
      <w:tr>
        <w:trPr>
          <w:trHeight w:val="17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Lease financing</w:t>
            </w: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1,467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1,162</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nonperforming loans</w:t>
            </w: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58,690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65,483</w:t>
            </w:r>
          </w:p>
        </w:tc>
      </w:tr>
      <w:tr>
        <w:trPr>
          <w:trHeight w:val="17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real estate owned and other repossessed assets</w:t>
            </w:r>
          </w:p>
        </w:tc>
        <w:tc>
          <w:tcPr>
            <w:tcW w:w="2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606</w:t>
            </w:r>
          </w:p>
        </w:tc>
      </w:tr>
      <w:tr>
        <w:trPr>
          <w:trHeight w:val="170"/>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Nonperforming assets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58,870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66,089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r>
      <w:tr>
        <w:trPr>
          <w:trHeight w:val="160"/>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Nonperforming assets to total assets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0.86 %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1.01 %</w:t>
            </w:r>
          </w:p>
        </w:tc>
      </w:tr>
      <w:tr>
        <w:trPr>
          <w:trHeight w:val="17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103.68 %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105.71 %</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2025, the Company prioritized improving its credit quality by tightening its loan underwriting standards and pursuing opportunities to resolve nonperforming loans, which included the sale of specific loans or portfolios. The Company ceased originations of new construction loans included in the specialty finance portfolio in the fourth quarter of 2024. In the third quarter of 2025, the Company ceased originations in the equipment finance portfolio, selling substantially all of the portfolio during the fourth quarter of 2025. These actions are reflected in the continued reduction of nonperforming loans. Nonperforming loans decreased to $58.7 million, or 1.37% of total loans, at September 30, 2026, compared to $65.5 million, or 1.50% of total loans at December 31, 2025.</w:t>
      </w:r>
    </w:p>
    <w:p>
      <w:pPr>
        <w:spacing w:after="0" w:line="140"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Although total nonperforming loans declined, certain categories experienced increases, including commercial, residential real estate, and the remaining lease portfolio. Management continues to monitor these relationships and has incorporated their risk characteristics into loan grading, individual evaluations, and the allowance assessment, as applicable.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recognize interest income on nonaccrual loans during the three and nine months ended September 30, 2026 or 2025 while the loans were in nonaccrual status.</w:t>
      </w:r>
    </w:p>
    <w:p>
      <w:pPr>
        <w:spacing w:after="0" w:line="17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 Securities. </w:t>
      </w:r>
      <w:r>
        <w:rPr>
          <w:rFonts w:ascii="Times New Roman" w:cs="Times New Roman" w:eastAsia="Times New Roman" w:hAnsi="Times New Roman"/>
          <w:sz w:val="14"/>
          <w:szCs w:val="14"/>
          <w:color w:val="auto"/>
        </w:rPr>
        <w:t>Our investment strategy aims to maximize earnings while maintaining liquidity in securities with minimal credit risk. The types and maturities of securities purchased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primarily based on our current and projected liquidity and interest rate sensitivity positions. In the periods presented, all investment securities of the Company are classified as available for sale and, therefore, the book value of investment securities is equal to the fair market value.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book value and percentage of each category of investment securities at September 30, 2026 and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Borders>
              <w:bottom w:val="single" w:sz="8" w:color="auto"/>
            </w:tcBorders>
          </w:tcPr>
          <w:p>
            <w:pPr>
              <w:spacing w:after="0"/>
              <w:rPr>
                <w:sz w:val="13"/>
                <w:szCs w:val="13"/>
                <w:color w:val="auto"/>
              </w:rPr>
            </w:pPr>
          </w:p>
        </w:tc>
      </w:tr>
      <w:tr>
        <w:trPr>
          <w:trHeight w:val="16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9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9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20" w:type="dxa"/>
            <w:vAlign w:val="bottom"/>
          </w:tcPr>
          <w:p>
            <w:pPr>
              <w:spacing w:after="0"/>
              <w:rPr>
                <w:sz w:val="13"/>
                <w:szCs w:val="13"/>
                <w:color w:val="auto"/>
              </w:rPr>
            </w:pPr>
          </w:p>
        </w:tc>
      </w:tr>
      <w:tr>
        <w:trPr>
          <w:trHeight w:val="180"/>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r>
      <w:tr>
        <w:trPr>
          <w:trHeight w:val="160"/>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U.S. Treasury securities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6,434</w:t>
            </w:r>
          </w:p>
        </w:tc>
        <w:tc>
          <w:tcPr>
            <w:tcW w:w="1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79"/>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62,290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5"/>
                <w:szCs w:val="15"/>
                <w:color w:val="auto"/>
              </w:rPr>
            </w:pPr>
          </w:p>
        </w:tc>
      </w:tr>
      <w:tr>
        <w:trPr>
          <w:trHeight w:val="160"/>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1,342,675</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1,193,750</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120" w:type="dxa"/>
            <w:vAlign w:val="bottom"/>
          </w:tcPr>
          <w:p>
            <w:pPr>
              <w:spacing w:after="0"/>
              <w:rPr>
                <w:sz w:val="13"/>
                <w:szCs w:val="13"/>
                <w:color w:val="auto"/>
              </w:rPr>
            </w:pPr>
          </w:p>
        </w:tc>
      </w:tr>
      <w:tr>
        <w:trPr>
          <w:trHeight w:val="179"/>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108,554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97,089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shd w:val="clear" w:color="auto" w:fill="CCEEFF"/>
          </w:tcPr>
          <w:p>
            <w:pPr>
              <w:spacing w:after="0"/>
              <w:rPr>
                <w:sz w:val="15"/>
                <w:szCs w:val="15"/>
                <w:color w:val="auto"/>
              </w:rPr>
            </w:pPr>
          </w:p>
        </w:tc>
      </w:tr>
      <w:tr>
        <w:trPr>
          <w:trHeight w:val="160"/>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18,346</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34,215</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3"/>
                <w:szCs w:val="13"/>
                <w:color w:val="auto"/>
              </w:rPr>
            </w:pPr>
          </w:p>
        </w:tc>
      </w:tr>
      <w:tr>
        <w:trPr>
          <w:trHeight w:val="179"/>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66,094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73,458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shd w:val="clear" w:color="auto" w:fill="CCEEFF"/>
          </w:tcPr>
          <w:p>
            <w:pPr>
              <w:spacing w:after="0"/>
              <w:rPr>
                <w:sz w:val="15"/>
                <w:szCs w:val="15"/>
                <w:color w:val="auto"/>
              </w:rPr>
            </w:pPr>
          </w:p>
        </w:tc>
      </w:tr>
      <w:tr>
        <w:trPr>
          <w:trHeight w:val="160"/>
        </w:trPr>
        <w:tc>
          <w:tcPr>
            <w:tcW w:w="6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236,718</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46,854</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Pr>
          <w:p>
            <w:pPr>
              <w:spacing w:after="0"/>
              <w:rPr>
                <w:sz w:val="13"/>
                <w:szCs w:val="13"/>
                <w:color w:val="auto"/>
              </w:rPr>
            </w:pPr>
          </w:p>
        </w:tc>
      </w:tr>
      <w:tr>
        <w:trPr>
          <w:trHeight w:val="170"/>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securities</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64,083</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57,812</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auto"/>
            </w:tcBorders>
            <w:shd w:val="clear" w:color="auto" w:fill="CCEEFF"/>
          </w:tcPr>
          <w:p>
            <w:pPr>
              <w:spacing w:after="0"/>
              <w:rPr>
                <w:sz w:val="14"/>
                <w:szCs w:val="14"/>
                <w:color w:val="auto"/>
              </w:rPr>
            </w:pPr>
          </w:p>
        </w:tc>
      </w:tr>
      <w:tr>
        <w:trPr>
          <w:trHeight w:val="170"/>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investment securities, available for sale, at fair value</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1,905,194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1,523,001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book value, maturities and weighted average yields for our investment portfolio at September 30, 2026:</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36"/>
        </w:trPr>
        <w:tc>
          <w:tcPr>
            <w:tcW w:w="6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300" w:type="dxa"/>
            <w:vAlign w:val="bottom"/>
          </w:tcPr>
          <w:p>
            <w:pPr>
              <w:spacing w:after="0"/>
              <w:rPr>
                <w:sz w:val="11"/>
                <w:szCs w:val="1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Weighted average yield</w:t>
            </w:r>
          </w:p>
        </w:tc>
        <w:tc>
          <w:tcPr>
            <w:tcW w:w="120" w:type="dxa"/>
            <w:vAlign w:val="bottom"/>
          </w:tcPr>
          <w:p>
            <w:pPr>
              <w:spacing w:after="0"/>
              <w:rPr>
                <w:sz w:val="11"/>
                <w:szCs w:val="11"/>
                <w:color w:val="auto"/>
              </w:rPr>
            </w:pPr>
          </w:p>
        </w:tc>
      </w:tr>
      <w:tr>
        <w:trPr>
          <w:trHeight w:val="14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securities available for sale:</w:t>
            </w:r>
          </w:p>
        </w:tc>
        <w:tc>
          <w:tcPr>
            <w:tcW w:w="3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r>
      <w:tr>
        <w:trPr>
          <w:trHeight w:val="142"/>
        </w:trPr>
        <w:tc>
          <w:tcPr>
            <w:tcW w:w="656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U.S. Treasury securities: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499</w:t>
            </w:r>
          </w:p>
        </w:tc>
        <w:tc>
          <w:tcPr>
            <w:tcW w:w="1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3.82 %</w:t>
            </w: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5,935</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w:t>
            </w: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3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U.S. Treasury securities</w:t>
            </w: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6,434</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4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U.S. government sponsored entities and U.S. agency securities:</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9,174</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w:t>
            </w:r>
          </w:p>
        </w:tc>
        <w:tc>
          <w:tcPr>
            <w:tcW w:w="120" w:type="dxa"/>
            <w:vAlign w:val="bottom"/>
          </w:tcPr>
          <w:p>
            <w:pPr>
              <w:spacing w:after="0"/>
              <w:rPr>
                <w:sz w:val="12"/>
                <w:szCs w:val="12"/>
                <w:color w:val="auto"/>
              </w:rPr>
            </w:pPr>
          </w:p>
        </w:tc>
      </w:tr>
      <w:tr>
        <w:trPr>
          <w:trHeight w:val="14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53,116</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w:t>
            </w:r>
          </w:p>
        </w:tc>
        <w:tc>
          <w:tcPr>
            <w:tcW w:w="120" w:type="dxa"/>
            <w:vAlign w:val="bottom"/>
            <w:tcBorders>
              <w:bottom w:val="single" w:sz="8" w:color="auto"/>
            </w:tcBorders>
            <w:shd w:val="clear" w:color="auto" w:fill="CCEEFF"/>
          </w:tcPr>
          <w:p>
            <w:pPr>
              <w:spacing w:after="0"/>
              <w:rPr>
                <w:sz w:val="12"/>
                <w:szCs w:val="12"/>
                <w:color w:val="auto"/>
              </w:rPr>
            </w:pPr>
          </w:p>
        </w:tc>
      </w:tr>
      <w:tr>
        <w:trPr>
          <w:trHeight w:val="13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Total U.S. government sponsored entities and U.S. agency securities</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62,290</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r>
        <w:trPr>
          <w:trHeight w:val="142"/>
        </w:trPr>
        <w:tc>
          <w:tcPr>
            <w:tcW w:w="656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Mortgage-backed securities - agency:</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2.33 %</w:t>
            </w: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29,698</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w:t>
            </w: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5.01</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1,302,935</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4.73</w:t>
            </w:r>
          </w:p>
        </w:tc>
        <w:tc>
          <w:tcPr>
            <w:tcW w:w="120" w:type="dxa"/>
            <w:vAlign w:val="bottom"/>
            <w:tcBorders>
              <w:bottom w:val="single" w:sz="8" w:color="auto"/>
            </w:tcBorders>
          </w:tcPr>
          <w:p>
            <w:pPr>
              <w:spacing w:after="0"/>
              <w:rPr>
                <w:sz w:val="12"/>
                <w:szCs w:val="12"/>
                <w:color w:val="auto"/>
              </w:rPr>
            </w:pPr>
          </w:p>
        </w:tc>
      </w:tr>
      <w:tr>
        <w:trPr>
          <w:trHeight w:val="13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mortgage-backed securities - agency</w:t>
            </w: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1,342,675</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4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Mortgage-backed securities - non-agency:</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6,608</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5.86</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4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101,946</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4.65</w:t>
            </w:r>
          </w:p>
        </w:tc>
        <w:tc>
          <w:tcPr>
            <w:tcW w:w="120" w:type="dxa"/>
            <w:vAlign w:val="bottom"/>
            <w:tcBorders>
              <w:bottom w:val="single" w:sz="8" w:color="auto"/>
            </w:tcBorders>
            <w:shd w:val="clear" w:color="auto" w:fill="CCEEFF"/>
          </w:tcPr>
          <w:p>
            <w:pPr>
              <w:spacing w:after="0"/>
              <w:rPr>
                <w:sz w:val="12"/>
                <w:szCs w:val="12"/>
                <w:color w:val="auto"/>
              </w:rPr>
            </w:pPr>
          </w:p>
        </w:tc>
      </w:tr>
      <w:tr>
        <w:trPr>
          <w:trHeight w:val="13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Total mortgage-backed securities - non-agency</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108,554</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103"/>
        </w:trPr>
        <w:tc>
          <w:tcPr>
            <w:tcW w:w="65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42"/>
        </w:trPr>
        <w:tc>
          <w:tcPr>
            <w:tcW w:w="656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Asset-backed student loans: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18,346</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120" w:type="dxa"/>
            <w:vAlign w:val="bottom"/>
            <w:tcBorders>
              <w:bottom w:val="single" w:sz="8" w:color="auto"/>
            </w:tcBorders>
          </w:tcPr>
          <w:p>
            <w:pPr>
              <w:spacing w:after="0"/>
              <w:rPr>
                <w:sz w:val="12"/>
                <w:szCs w:val="12"/>
                <w:color w:val="auto"/>
              </w:rPr>
            </w:pPr>
          </w:p>
        </w:tc>
      </w:tr>
      <w:tr>
        <w:trPr>
          <w:trHeight w:val="13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asset-backed student loans</w:t>
            </w: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18,346</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4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 xml:space="preserve">State and municipal securities </w:t>
            </w:r>
            <w:r>
              <w:rPr>
                <w:rFonts w:ascii="Times New Roman" w:cs="Times New Roman" w:eastAsia="Times New Roman" w:hAnsi="Times New Roman"/>
                <w:sz w:val="12"/>
                <w:szCs w:val="12"/>
                <w:i w:val="1"/>
                <w:iCs w:val="1"/>
                <w:color w:val="auto"/>
                <w:vertAlign w:val="superscript"/>
              </w:rPr>
              <w:t>(1)</w:t>
            </w:r>
            <w:r>
              <w:rPr>
                <w:rFonts w:ascii="Times New Roman" w:cs="Times New Roman" w:eastAsia="Times New Roman" w:hAnsi="Times New Roman"/>
                <w:sz w:val="10"/>
                <w:szCs w:val="10"/>
                <w:i w:val="1"/>
                <w:iCs w:val="1"/>
                <w:color w:val="auto"/>
              </w:rPr>
              <w:t>:</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728</w:t>
            </w:r>
          </w:p>
        </w:tc>
        <w:tc>
          <w:tcPr>
            <w:tcW w:w="100" w:type="dxa"/>
            <w:vAlign w:val="bottom"/>
          </w:tcPr>
          <w:p>
            <w:pPr>
              <w:spacing w:after="0"/>
              <w:rPr>
                <w:sz w:val="12"/>
                <w:szCs w:val="12"/>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3.05 %</w:t>
            </w: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13,594</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23,517</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20" w:type="dxa"/>
            <w:vAlign w:val="bottom"/>
          </w:tcPr>
          <w:p>
            <w:pPr>
              <w:spacing w:after="0"/>
              <w:rPr>
                <w:sz w:val="12"/>
                <w:szCs w:val="12"/>
                <w:color w:val="auto"/>
              </w:rPr>
            </w:pPr>
          </w:p>
        </w:tc>
      </w:tr>
      <w:tr>
        <w:trPr>
          <w:trHeight w:val="14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28,255</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20" w:type="dxa"/>
            <w:vAlign w:val="bottom"/>
            <w:tcBorders>
              <w:bottom w:val="single" w:sz="8" w:color="auto"/>
            </w:tcBorders>
            <w:shd w:val="clear" w:color="auto" w:fill="CCEEFF"/>
          </w:tcPr>
          <w:p>
            <w:pPr>
              <w:spacing w:after="0"/>
              <w:rPr>
                <w:sz w:val="12"/>
                <w:szCs w:val="12"/>
                <w:color w:val="auto"/>
              </w:rPr>
            </w:pPr>
          </w:p>
        </w:tc>
      </w:tr>
      <w:tr>
        <w:trPr>
          <w:trHeight w:val="13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Total state and municipal securities</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66,094</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r>
        <w:trPr>
          <w:trHeight w:val="142"/>
        </w:trPr>
        <w:tc>
          <w:tcPr>
            <w:tcW w:w="656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Collateralized loan obligations: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5.92</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211,718</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5.46</w:t>
            </w:r>
          </w:p>
        </w:tc>
        <w:tc>
          <w:tcPr>
            <w:tcW w:w="120" w:type="dxa"/>
            <w:vAlign w:val="bottom"/>
            <w:tcBorders>
              <w:bottom w:val="single" w:sz="8" w:color="auto"/>
            </w:tcBorders>
          </w:tcPr>
          <w:p>
            <w:pPr>
              <w:spacing w:after="0"/>
              <w:rPr>
                <w:sz w:val="12"/>
                <w:szCs w:val="12"/>
                <w:color w:val="auto"/>
              </w:rPr>
            </w:pPr>
          </w:p>
        </w:tc>
      </w:tr>
      <w:tr>
        <w:trPr>
          <w:trHeight w:val="13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collateralized loan obligations</w:t>
            </w: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236,718</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71"/>
        </w:trPr>
        <w:tc>
          <w:tcPr>
            <w:tcW w:w="6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14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Corporate securities:</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within one year</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3,001</w:t>
            </w:r>
          </w:p>
        </w:tc>
        <w:tc>
          <w:tcPr>
            <w:tcW w:w="100" w:type="dxa"/>
            <w:vAlign w:val="bottom"/>
          </w:tcPr>
          <w:p>
            <w:pPr>
              <w:spacing w:after="0"/>
              <w:rPr>
                <w:sz w:val="12"/>
                <w:szCs w:val="12"/>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8.75 %</w:t>
            </w:r>
          </w:p>
        </w:tc>
      </w:tr>
      <w:tr>
        <w:trPr>
          <w:trHeight w:val="155"/>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in one to five years</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26,998</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120" w:type="dxa"/>
            <w:vAlign w:val="bottom"/>
            <w:shd w:val="clear" w:color="auto" w:fill="CCEEFF"/>
          </w:tcPr>
          <w:p>
            <w:pPr>
              <w:spacing w:after="0"/>
              <w:rPr>
                <w:sz w:val="13"/>
                <w:szCs w:val="13"/>
                <w:color w:val="auto"/>
              </w:rPr>
            </w:pPr>
          </w:p>
        </w:tc>
      </w:tr>
      <w:tr>
        <w:trPr>
          <w:trHeight w:val="142"/>
        </w:trPr>
        <w:tc>
          <w:tcPr>
            <w:tcW w:w="65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Maturing in five to ten years</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10,762</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6.64</w:t>
            </w:r>
          </w:p>
        </w:tc>
        <w:tc>
          <w:tcPr>
            <w:tcW w:w="120" w:type="dxa"/>
            <w:vAlign w:val="bottom"/>
          </w:tcPr>
          <w:p>
            <w:pPr>
              <w:spacing w:after="0"/>
              <w:rPr>
                <w:sz w:val="12"/>
                <w:szCs w:val="12"/>
                <w:color w:val="auto"/>
              </w:rPr>
            </w:pPr>
          </w:p>
        </w:tc>
      </w:tr>
      <w:tr>
        <w:trPr>
          <w:trHeight w:val="14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Maturing after ten years</w:t>
            </w: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23,322</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6.84</w:t>
            </w:r>
          </w:p>
        </w:tc>
        <w:tc>
          <w:tcPr>
            <w:tcW w:w="120" w:type="dxa"/>
            <w:vAlign w:val="bottom"/>
            <w:tcBorders>
              <w:bottom w:val="single" w:sz="8" w:color="auto"/>
            </w:tcBorders>
            <w:shd w:val="clear" w:color="auto" w:fill="CCEEFF"/>
          </w:tcPr>
          <w:p>
            <w:pPr>
              <w:spacing w:after="0"/>
              <w:rPr>
                <w:sz w:val="12"/>
                <w:szCs w:val="12"/>
                <w:color w:val="auto"/>
              </w:rPr>
            </w:pPr>
          </w:p>
        </w:tc>
      </w:tr>
      <w:tr>
        <w:trPr>
          <w:trHeight w:val="13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Total corporate securities</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64,083</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1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investment securities, available for sale, at fair value</w:t>
            </w: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1,905,194</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Weighted average yield for tax-exempt securities are presented on a tax-equivalent basis assuming a federal income tax rate of 21%.</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presents the credit ratings for our investment securities classified as available for sale, at fair value, at September 30, 2026:</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 credit rating</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60"/>
        </w:trPr>
        <w:tc>
          <w:tcPr>
            <w:tcW w:w="4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AAA</w:t>
            </w:r>
          </w:p>
        </w:tc>
        <w:tc>
          <w:tcPr>
            <w:tcW w:w="180" w:type="dxa"/>
            <w:vAlign w:val="bottom"/>
          </w:tcPr>
          <w:p>
            <w:pPr>
              <w:spacing w:after="0"/>
              <w:rPr>
                <w:sz w:val="13"/>
                <w:szCs w:val="13"/>
                <w:color w:val="auto"/>
              </w:rPr>
            </w:pPr>
          </w:p>
        </w:tc>
        <w:tc>
          <w:tcPr>
            <w:tcW w:w="68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AA+/-</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w:t>
            </w:r>
          </w:p>
        </w:tc>
        <w:tc>
          <w:tcPr>
            <w:tcW w:w="1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BBB+/-</w:t>
            </w:r>
          </w:p>
        </w:tc>
        <w:tc>
          <w:tcPr>
            <w:tcW w:w="120" w:type="dxa"/>
            <w:vAlign w:val="bottom"/>
          </w:tcPr>
          <w:p>
            <w:pPr>
              <w:spacing w:after="0"/>
              <w:rPr>
                <w:sz w:val="13"/>
                <w:szCs w:val="13"/>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Not Rated</w:t>
            </w:r>
          </w:p>
        </w:tc>
      </w:tr>
      <w:tr>
        <w:trPr>
          <w:trHeight w:val="15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0"/>
        </w:trPr>
        <w:tc>
          <w:tcPr>
            <w:tcW w:w="4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U.S. Treasury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6,434</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6,434</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U.S. government sponsored entities and U.S. agency securities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62,290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4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Mortgage-backed securities - agency</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1,491,028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1,342,675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1,342,675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Mortgage-backed securities - non-agency</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113,025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108,554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106,720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w:t>
            </w:r>
          </w:p>
        </w:tc>
      </w:tr>
      <w:tr>
        <w:trPr>
          <w:trHeight w:val="160"/>
        </w:trPr>
        <w:tc>
          <w:tcPr>
            <w:tcW w:w="4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Asset-backed student loans</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State and municipal securities</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74,542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17,750</w:t>
            </w:r>
          </w:p>
        </w:tc>
      </w:tr>
      <w:tr>
        <w:trPr>
          <w:trHeight w:val="160"/>
        </w:trPr>
        <w:tc>
          <w:tcPr>
            <w:tcW w:w="4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Collateralized loan obligations</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236,704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236,718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119,831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Corporate securities</w:t>
            </w: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65,232</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64,083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7,417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54,218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w:t>
            </w:r>
          </w:p>
        </w:tc>
      </w:tr>
      <w:tr>
        <w:trPr>
          <w:trHeight w:val="170"/>
        </w:trPr>
        <w:tc>
          <w:tcPr>
            <w:tcW w:w="42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investment securities, available for sale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2,071,176</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1,905,194</w:t>
            </w:r>
          </w:p>
        </w:tc>
        <w:tc>
          <w:tcPr>
            <w:tcW w:w="1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230,346</w:t>
            </w:r>
          </w:p>
        </w:tc>
        <w:tc>
          <w:tcPr>
            <w:tcW w:w="1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1,588,020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10,578</w:t>
            </w:r>
          </w:p>
        </w:tc>
        <w:tc>
          <w:tcPr>
            <w:tcW w:w="8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54,218</w:t>
            </w:r>
          </w:p>
        </w:tc>
        <w:tc>
          <w:tcPr>
            <w:tcW w:w="10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22,032</w:t>
            </w:r>
          </w:p>
        </w:tc>
      </w:tr>
      <w:tr>
        <w:trPr>
          <w:trHeight w:val="20"/>
        </w:trPr>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Liabilities. </w:t>
      </w:r>
      <w:r>
        <w:rPr>
          <w:rFonts w:ascii="Times New Roman" w:cs="Times New Roman" w:eastAsia="Times New Roman" w:hAnsi="Times New Roman"/>
          <w:sz w:val="14"/>
          <w:szCs w:val="14"/>
          <w:color w:val="auto"/>
        </w:rPr>
        <w:t>At September 30, 2026, liabilities totaled $6.29 billion compared to $5.95 billion at December 31, 2025.</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Deposits. </w:t>
      </w:r>
      <w:r>
        <w:rPr>
          <w:rFonts w:ascii="Times New Roman" w:cs="Times New Roman" w:eastAsia="Times New Roman" w:hAnsi="Times New Roman"/>
          <w:sz w:val="14"/>
          <w:szCs w:val="14"/>
          <w:color w:val="auto"/>
        </w:rPr>
        <w:t>We emphasize developing total client relationships with our customers in order to increase our retail and commercial core deposit bases, which are our primary funding sources.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deposits consist of noninterest-bearing and interest-bearing demand, money market, savings and time deposit accounts.</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Total deposits increased $193.1 million to $5.62 billion at September 30, 2026, compared to December 31, 2025. Increases in interest-bearing checking, money market, and savings of $300.0 million, $57.7 million, and $10.7 million, respectively, during the period, were partially offset by decreases in noninterest-bearing demand and time deposits of $67.0 million and $108.2 million, respectively. Interest-bearing checking deposits reflected growth in existing consumer and small business customer relationships, growth in new accounts as a result of targeted initiatives and seasonal growth in public funds, while the decrease in time deposits primarily reflected maturities and targeted reductions in higher-cost deposits. Brokered time deposits decreased $26.0 million to $17.1 million at September 30,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20" w:type="dxa"/>
            <w:vAlign w:val="bottom"/>
            <w:tcBorders>
              <w:bottom w:val="single" w:sz="8" w:color="auto"/>
            </w:tcBorders>
          </w:tcPr>
          <w:p>
            <w:pPr>
              <w:spacing w:after="0"/>
              <w:rPr>
                <w:sz w:val="13"/>
                <w:szCs w:val="13"/>
                <w:color w:val="auto"/>
              </w:rPr>
            </w:pPr>
          </w:p>
        </w:tc>
      </w:tr>
      <w:tr>
        <w:trPr>
          <w:trHeight w:val="160"/>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280" w:type="dxa"/>
            <w:vAlign w:val="bottom"/>
          </w:tcPr>
          <w:p>
            <w:pPr>
              <w:spacing w:after="0"/>
              <w:rPr>
                <w:sz w:val="13"/>
                <w:szCs w:val="13"/>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70"/>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Noninterest-bearing demand</w:t>
            </w: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973,388</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17.2 %</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1,040,411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19.2 %</w:t>
            </w:r>
          </w:p>
        </w:tc>
      </w:tr>
      <w:tr>
        <w:trPr>
          <w:trHeight w:val="160"/>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Checking</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2,155,193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1,855,215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34.2</w:t>
            </w:r>
          </w:p>
        </w:tc>
      </w:tr>
      <w:tr>
        <w:trPr>
          <w:trHeight w:val="160"/>
        </w:trPr>
        <w:tc>
          <w:tcPr>
            <w:tcW w:w="5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Money market</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1,306,610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1,248,942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23.0</w:t>
            </w:r>
          </w:p>
        </w:tc>
      </w:tr>
      <w:tr>
        <w:trPr>
          <w:trHeight w:val="17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Savings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487,742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9.0</w:t>
            </w:r>
          </w:p>
        </w:tc>
      </w:tr>
      <w:tr>
        <w:trPr>
          <w:trHeight w:val="160"/>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Time</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683,850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792,069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14.6</w:t>
            </w:r>
          </w:p>
        </w:tc>
      </w:tr>
      <w:tr>
        <w:trPr>
          <w:trHeight w:val="195"/>
        </w:trPr>
        <w:tc>
          <w:tcPr>
            <w:tcW w:w="5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deposits</w:t>
            </w: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5,617,438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5,424,379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maturity of uninsured time deposits as of September 30, 2026:</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Three months or less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Three to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0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Six to 12 months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After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Total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5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51"/>
        </w:trPr>
        <w:tc>
          <w:tcPr>
            <w:tcW w:w="50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17,008</w:t>
            </w:r>
          </w:p>
        </w:tc>
      </w:tr>
      <w:tr>
        <w:trPr>
          <w:trHeight w:val="170"/>
        </w:trPr>
        <w:tc>
          <w:tcPr>
            <w:tcW w:w="5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5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37,225</w:t>
            </w:r>
          </w:p>
        </w:tc>
      </w:tr>
      <w:tr>
        <w:trPr>
          <w:trHeight w:val="179"/>
        </w:trPr>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6,772</w:t>
            </w:r>
          </w:p>
        </w:tc>
      </w:tr>
      <w:tr>
        <w:trPr>
          <w:trHeight w:val="160"/>
        </w:trPr>
        <w:tc>
          <w:tcPr>
            <w:tcW w:w="5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61,005</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720"/>
            <w:col w:w="220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Resources and Liquidity Management</w:t>
      </w:r>
    </w:p>
    <w:p>
      <w:pPr>
        <w:spacing w:after="0" w:line="94" w:lineRule="exact"/>
        <w:rPr>
          <w:sz w:val="20"/>
          <w:szCs w:val="20"/>
          <w:color w:val="auto"/>
        </w:rPr>
      </w:pPr>
    </w:p>
    <w:p>
      <w:pPr>
        <w:jc w:val="both"/>
        <w:ind w:right="4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Resources. </w:t>
      </w:r>
      <w:r>
        <w:rPr>
          <w:rFonts w:ascii="Times New Roman" w:cs="Times New Roman" w:eastAsia="Times New Roman" w:hAnsi="Times New Roman"/>
          <w:sz w:val="14"/>
          <w:szCs w:val="14"/>
          <w:color w:val="auto"/>
        </w:rPr>
        <w:t>Shareholders’ equity is influenced primarily by earnings, dividends, issuances and redemptions of common and preferred stock and changes in accumulated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comprehensive income caused primarily by fluctuations in unrealized holding gains or losses, net of taxes, on available-for-sale investment securities, fair value hedges and cash flow hedges.</w:t>
      </w:r>
    </w:p>
    <w:p>
      <w:pPr>
        <w:spacing w:after="0" w:line="122"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Shareholders’ equity decreased $34.1 million to $531.4 million at September 30, 2026, compared to December 31, 2025. The change in shareholders’ equity was driven primarily by an increase in accumulated other comprehensive losses of $61.9 million, largely reflecting market-driven declines in the fair value of the available-for-sale securities portfolio resulting from higher interest rates, dividends to common shareholders of $20.7 million, dividends to preferred shareholders of $6.7 million, common stock repurchased, including excise tax, of $10.7 million; partially offset by net income of $61.2 million,</w:t>
      </w:r>
    </w:p>
    <w:p>
      <w:pPr>
        <w:spacing w:after="0" w:line="14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On November 3, 2025, the Company’s board of directors authorized a new stock repurchase program, pursuant to which the Company was authorized to repurchase up to $25.0 million of common stock through November 2, 2026. The stock repurchase program became effective on November 3, 2025. On May 5, 2026, the board of directors of the Company approved an amendment to the stock repurchase program that increased the amount of its common stock authorized for repurchase from $25.0 million to $45.0 million and extended the expiration date of the program to December 31, 2026. As of September 30, 2026, $20.2 million, or 936,438 shares of the Company’s common stock, had been repurchased under the current program.</w:t>
      </w:r>
    </w:p>
    <w:p>
      <w:pPr>
        <w:spacing w:after="0" w:line="140"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On October 6, 2026, the Company filed a universal shelf registration statement on Form S-3 with the SEC covering up to $250 million in aggregate offering price of securities that the Company may issue from time to time, subject to market conditions and the Company’s capital needs.</w:t>
      </w:r>
    </w:p>
    <w:p>
      <w:pPr>
        <w:spacing w:after="0" w:line="143"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Liquidity Management. </w:t>
      </w:r>
      <w:r>
        <w:rPr>
          <w:rFonts w:ascii="Times New Roman" w:cs="Times New Roman" w:eastAsia="Times New Roman" w:hAnsi="Times New Roman"/>
          <w:sz w:val="14"/>
          <w:szCs w:val="14"/>
          <w:color w:val="auto"/>
        </w:rPr>
        <w:t>Liquidity refers to the measure of our ability to meet the cash flow requirements of depositors and borrowers, while at the same time meeting our operating, capital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40"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w:t>
      </w:r>
    </w:p>
    <w:p>
      <w:pPr>
        <w:spacing w:after="0" w:line="124"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Securities sold under agreements to repurchase, which are classified as secured borrowings, generally mature within one to four days from the transaction date. Securities sold under agreements to repurchase are reflected at the amount of cash received in connection with the transaction, which represents the amount of the Bank’s obligation. The Bank may be required to provide additional collateral based on the fair value of the underlying securities. Investment securities with a carrying amount of $7.8 million and $12.2 million at September 30, 2026 and December 31, 2025, respectively, were pledged for securities sold under agreements to repurchase.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presents our sources of liquidity as of September 30, 2026 and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0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3"/>
                <w:szCs w:val="13"/>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70"/>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99,612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127,811</w:t>
            </w:r>
          </w:p>
        </w:tc>
      </w:tr>
      <w:tr>
        <w:trPr>
          <w:trHeight w:val="160"/>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Unpledged securities</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1,182,796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812,587</w:t>
            </w:r>
          </w:p>
        </w:tc>
      </w:tr>
      <w:tr>
        <w:trPr>
          <w:trHeight w:val="17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FHLB committed liquidity</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699,830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1,114,294</w:t>
            </w:r>
          </w:p>
        </w:tc>
      </w:tr>
      <w:tr>
        <w:trPr>
          <w:trHeight w:val="16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FRB discount window availability</w:t>
            </w: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305,357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349,026</w:t>
            </w:r>
          </w:p>
        </w:tc>
      </w:tr>
      <w:tr>
        <w:trPr>
          <w:trHeight w:val="19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Estimated Liquidity</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2,287,595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2,403,718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Conditional Funding Based on Market Conditions</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0"/>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credit facility</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351,000</w:t>
            </w:r>
          </w:p>
        </w:tc>
      </w:tr>
      <w:tr>
        <w:trPr>
          <w:trHeight w:val="17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Brokered CDs (additional capacity)</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450,000</w:t>
            </w:r>
          </w:p>
        </w:tc>
      </w:tr>
      <w:tr>
        <w:trPr>
          <w:trHeight w:val="15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ICS One Way Buy (additional capacity)</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 is a corporation separate and apart from the Bank and, therefore, must provide for its own liquidity. The Company’s main source of funding is dividends declared and paid to it by the Bank. There are statutory, regulatory and debt covenant limitations that affect the ability of the Bank to pay dividends to the Company. Management believed at September 30, 2026 that these limitations will not impact our ability to meet our ongoing short-term cash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 Requirements</w:t>
      </w:r>
    </w:p>
    <w:p>
      <w:pPr>
        <w:spacing w:after="0" w:line="96"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4"/>
          <w:szCs w:val="14"/>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w:t>
      </w:r>
    </w:p>
    <w:p>
      <w:pPr>
        <w:spacing w:after="0" w:line="140"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At September 30, 2026, the Company and the Bank exceeded all applicable minimum regulatory capital requirements, and the Bank met the regulatory thresholds to be considered well capitalized under the prompt corrective action framework. The following table presents the Company's and the Bank’s capital ratios and the minimum requirements at September 30, 2026:</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1520" w:type="dxa"/>
            <w:vAlign w:val="bottom"/>
            <w:vMerge w:val="restart"/>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Well</w:t>
            </w:r>
          </w:p>
        </w:tc>
        <w:tc>
          <w:tcPr>
            <w:tcW w:w="0" w:type="dxa"/>
            <w:vAlign w:val="bottom"/>
          </w:tcPr>
          <w:p>
            <w:pPr>
              <w:spacing w:after="0"/>
              <w:rPr>
                <w:sz w:val="1"/>
                <w:szCs w:val="1"/>
                <w:color w:val="auto"/>
              </w:rPr>
            </w:pPr>
          </w:p>
        </w:tc>
      </w:tr>
      <w:tr>
        <w:trPr>
          <w:trHeight w:val="115"/>
        </w:trPr>
        <w:tc>
          <w:tcPr>
            <w:tcW w:w="6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00" w:type="dxa"/>
            <w:vAlign w:val="bottom"/>
            <w:vMerge w:val="restart"/>
          </w:tcPr>
          <w:p>
            <w:pPr>
              <w:spacing w:after="0"/>
              <w:rPr>
                <w:sz w:val="9"/>
                <w:szCs w:val="9"/>
                <w:color w:val="auto"/>
              </w:rPr>
            </w:pPr>
          </w:p>
        </w:tc>
        <w:tc>
          <w:tcPr>
            <w:tcW w:w="1480" w:type="dxa"/>
            <w:vAlign w:val="bottom"/>
            <w:vMerge w:val="restart"/>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00" w:type="dxa"/>
            <w:vAlign w:val="bottom"/>
            <w:vMerge w:val="restart"/>
          </w:tcPr>
          <w:p>
            <w:pPr>
              <w:spacing w:after="0"/>
              <w:rPr>
                <w:sz w:val="9"/>
                <w:szCs w:val="9"/>
                <w:color w:val="auto"/>
              </w:rPr>
            </w:pPr>
          </w:p>
        </w:tc>
        <w:tc>
          <w:tcPr>
            <w:tcW w:w="16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Regulatory</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Requirements </w:t>
            </w:r>
            <w:r>
              <w:rPr>
                <w:rFonts w:ascii="Times New Roman" w:cs="Times New Roman" w:eastAsia="Times New Roman" w:hAnsi="Times New Roman"/>
                <w:sz w:val="7"/>
                <w:szCs w:val="7"/>
                <w:b w:val="1"/>
                <w:bCs w:val="1"/>
                <w:color w:val="auto"/>
              </w:rPr>
              <w:t>(1)</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Capitalized</w:t>
            </w:r>
          </w:p>
        </w:tc>
        <w:tc>
          <w:tcPr>
            <w:tcW w:w="0" w:type="dxa"/>
            <w:vAlign w:val="bottom"/>
          </w:tcPr>
          <w:p>
            <w:pPr>
              <w:spacing w:after="0"/>
              <w:rPr>
                <w:sz w:val="1"/>
                <w:szCs w:val="1"/>
                <w:color w:val="auto"/>
              </w:rPr>
            </w:pPr>
          </w:p>
        </w:tc>
      </w:tr>
      <w:tr>
        <w:trPr>
          <w:trHeight w:val="165"/>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risk-based capital ratio</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Midland States Bancorp, Inc.</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15.60 %</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10.50 %</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7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Midland States Bank</w:t>
            </w: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14.52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10.50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Tier 1 risk-based capital ratio</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Midland States Bancorp, Inc.</w:t>
            </w: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13.82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60"/>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Midland States Bank</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tcPr>
          <w:p>
            <w:pPr>
              <w:spacing w:after="0"/>
              <w:rPr>
                <w:sz w:val="13"/>
                <w:szCs w:val="13"/>
                <w:color w:val="auto"/>
              </w:rPr>
            </w:pPr>
          </w:p>
        </w:tc>
        <w:tc>
          <w:tcPr>
            <w:tcW w:w="15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Pr>
          <w:p>
            <w:pPr>
              <w:spacing w:after="0"/>
              <w:rPr>
                <w:sz w:val="13"/>
                <w:szCs w:val="13"/>
                <w:color w:val="auto"/>
              </w:rPr>
            </w:pPr>
          </w:p>
        </w:tc>
        <w:tc>
          <w:tcPr>
            <w:tcW w:w="15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8.00</w:t>
            </w:r>
          </w:p>
        </w:tc>
        <w:tc>
          <w:tcPr>
            <w:tcW w:w="0" w:type="dxa"/>
            <w:vAlign w:val="bottom"/>
          </w:tcPr>
          <w:p>
            <w:pPr>
              <w:spacing w:after="0"/>
              <w:rPr>
                <w:sz w:val="1"/>
                <w:szCs w:val="1"/>
                <w:color w:val="auto"/>
              </w:rPr>
            </w:pPr>
          </w:p>
        </w:tc>
      </w:tr>
      <w:tr>
        <w:trPr>
          <w:trHeight w:val="179"/>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tier 1 risk-based capital ratio</w:t>
            </w: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Midland States Bancorp, Inc.</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tcPr>
          <w:p>
            <w:pPr>
              <w:spacing w:after="0"/>
              <w:rPr>
                <w:sz w:val="13"/>
                <w:szCs w:val="13"/>
                <w:color w:val="auto"/>
              </w:rPr>
            </w:pPr>
          </w:p>
        </w:tc>
        <w:tc>
          <w:tcPr>
            <w:tcW w:w="15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7.00</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7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Midland States Bank</w:t>
            </w: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7.00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6.50</w:t>
            </w: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Tier 1 leverage ratio</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Midland States Bancorp, Inc.</w:t>
            </w: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10.34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51"/>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Midland States Bank</w:t>
            </w: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9.93</w:t>
            </w:r>
          </w:p>
        </w:tc>
        <w:tc>
          <w:tcPr>
            <w:tcW w:w="100" w:type="dxa"/>
            <w:vAlign w:val="bottom"/>
          </w:tcPr>
          <w:p>
            <w:pPr>
              <w:spacing w:after="0"/>
              <w:rPr>
                <w:sz w:val="13"/>
                <w:szCs w:val="13"/>
                <w:color w:val="auto"/>
              </w:rPr>
            </w:pPr>
          </w:p>
        </w:tc>
        <w:tc>
          <w:tcPr>
            <w:tcW w:w="15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Pr>
          <w:p>
            <w:pPr>
              <w:spacing w:after="0"/>
              <w:rPr>
                <w:sz w:val="13"/>
                <w:szCs w:val="13"/>
                <w:color w:val="auto"/>
              </w:rPr>
            </w:pPr>
          </w:p>
        </w:tc>
        <w:tc>
          <w:tcPr>
            <w:tcW w:w="15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risk-based capital ratio, Tier 1 risk-based capital ratio and Common equity tier 1 risk-based capital ratio include the capital conservation buffer of 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4"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Market Risk. </w:t>
      </w:r>
      <w:r>
        <w:rPr>
          <w:rFonts w:ascii="Times New Roman" w:cs="Times New Roman" w:eastAsia="Times New Roman" w:hAnsi="Times New Roman"/>
          <w:sz w:val="14"/>
          <w:szCs w:val="14"/>
          <w:color w:val="auto"/>
        </w:rPr>
        <w:t>Market risk represents the risk of loss due to changes in market values of assets and liabilities. We incur market risk in the normal course of business through exposures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interest rates, equity prices, and credit spreads. We are primarily exposed to interest rate risk as a result of offering a wide array of financial products to our customers and secondarily to price risk from investments in securities.</w:t>
      </w:r>
    </w:p>
    <w:p>
      <w:pPr>
        <w:spacing w:after="0" w:line="134"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Rate Risk. </w:t>
      </w:r>
      <w:r>
        <w:rPr>
          <w:rFonts w:ascii="Times New Roman" w:cs="Times New Roman" w:eastAsia="Times New Roman" w:hAnsi="Times New Roman"/>
          <w:sz w:val="14"/>
          <w:szCs w:val="14"/>
          <w:color w:val="auto"/>
        </w:rPr>
        <w:t>Interest rate risk is the risk to earnings arising from changes in market interest rates. Interest rate risk arises from timing differences in the repricing and maturities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and interest-bearing liabilities (reprice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40"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Interest rate risk management is an active process that encompasses monitoring loan and deposit flows complemented by investment, funding and hedging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36"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Changes in market interest rates may result in changes in the fair market value of our financial instruments, cash flows, and net interest income. We seek to achieve a stable net interest income profile while managing volatility arising from shifts in market interest rates. Our Board of Directors’ Risk Policy and Compliance Committee oversees interest rate risk, as well as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establishment of risk measures, limits, and policy guidelines for managing the amount of interest rate risk and its effect on net interest income. The Committee meets quarterly to monitor the level of interest rate risk sensitivity to ensure compliance with the board of directors’ approved risk limits.</w:t>
      </w:r>
    </w:p>
    <w:p>
      <w:pPr>
        <w:spacing w:after="0" w:line="12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spacing w:after="0" w:line="14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Interest rate risk measurement is calculated and reported to the Risk Policy and Compliance Committee at least quarterly. The information reported includes period-end results and identifies any policy limits exceeded, along with an assessment of the policy limit breach and the action plan and timeline for resolution, mitigation, or assumption of the risk.</w:t>
      </w:r>
    </w:p>
    <w:p>
      <w:pPr>
        <w:spacing w:after="0" w:line="1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use NII at Risk to model interest rate risk utilizing various assumptions for assets, liabilities, and derivatives. NII at Risk uses net interest income simulation analysis which involves forecasting net interest earnings under a variety of scenarios including changes in the level of interest rates, the shape of the yield curve, and spreads between market interest rates. The sensitivity of net interest income to changes in interest rates is measured using numerous interest rate scenarios including shocks, gradual ramps, curve flattening, curve steepening as well as forecasts of likely interest rate scenarios. Modeling the sensitivity of net interest earnings to changes in market interest rates is highly dependent on numerous assumptions incorporated into the modeling process. To the extent that actual performance is different than what was assumed, actual net interest earnings sensitivity may be different than projected. We use various ad-hoc reports to continuously refine, stress and validate these assumptions. Assumptions and methodologies regarding administered rate liabilities (e.g., savings accounts, money market accounts and interest-bearing checking accounts), balance trends, and repricing relationships reflect our best estimate of expected behavior and these assumptions are reviewed periodically.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NII at Risk at the dates indicated: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Net interest income sensitivity (Shocks)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50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Immediate change in rates</w:t>
            </w: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w w:val="96"/>
              </w:rPr>
              <w:t>+100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+200</w:t>
            </w:r>
          </w:p>
        </w:tc>
      </w:tr>
      <w:tr>
        <w:trPr>
          <w:trHeight w:val="170"/>
        </w:trPr>
        <w:tc>
          <w:tcPr>
            <w:tcW w:w="5040" w:type="dxa"/>
            <w:vAlign w:val="bottom"/>
            <w:shd w:val="clear" w:color="auto" w:fill="CCEEFF"/>
          </w:tcPr>
          <w:p>
            <w:pPr>
              <w:jc w:val="center"/>
              <w:ind w:right="3983"/>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0"/>
        </w:trPr>
        <w:tc>
          <w:tcPr>
            <w:tcW w:w="5040" w:type="dxa"/>
            <w:vAlign w:val="bottom"/>
          </w:tcPr>
          <w:p>
            <w:pPr>
              <w:jc w:val="center"/>
              <w:ind w:right="4023"/>
              <w:spacing w:after="0"/>
              <w:rPr>
                <w:sz w:val="20"/>
                <w:szCs w:val="20"/>
                <w:color w:val="auto"/>
              </w:rPr>
            </w:pPr>
            <w:r>
              <w:rPr>
                <w:rFonts w:ascii="Times New Roman" w:cs="Times New Roman" w:eastAsia="Times New Roman" w:hAnsi="Times New Roman"/>
                <w:sz w:val="11"/>
                <w:szCs w:val="11"/>
                <w:color w:val="auto"/>
              </w:rPr>
              <w:t>Dollar change</w:t>
            </w: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5,065</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tcPr>
          <w:p>
            <w:pPr>
              <w:spacing w:after="0"/>
              <w:rPr>
                <w:sz w:val="13"/>
                <w:szCs w:val="13"/>
                <w:color w:val="auto"/>
              </w:rPr>
            </w:pPr>
          </w:p>
        </w:tc>
        <w:tc>
          <w:tcPr>
            <w:tcW w:w="62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2,911</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5,985</w:t>
            </w:r>
          </w:p>
        </w:tc>
      </w:tr>
      <w:tr>
        <w:trPr>
          <w:trHeight w:val="179"/>
        </w:trPr>
        <w:tc>
          <w:tcPr>
            <w:tcW w:w="5040" w:type="dxa"/>
            <w:vAlign w:val="bottom"/>
            <w:shd w:val="clear" w:color="auto" w:fill="CCEEFF"/>
          </w:tcPr>
          <w:p>
            <w:pPr>
              <w:jc w:val="center"/>
              <w:ind w:right="3963"/>
              <w:spacing w:after="0"/>
              <w:rPr>
                <w:sz w:val="20"/>
                <w:szCs w:val="20"/>
                <w:color w:val="auto"/>
              </w:rPr>
            </w:pPr>
            <w:r>
              <w:rPr>
                <w:rFonts w:ascii="Times New Roman" w:cs="Times New Roman" w:eastAsia="Times New Roman" w:hAnsi="Times New Roman"/>
                <w:sz w:val="11"/>
                <w:szCs w:val="11"/>
                <w:color w:val="auto"/>
              </w:rPr>
              <w:t>Percent change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r>
      <w:tr>
        <w:trPr>
          <w:trHeight w:val="160"/>
        </w:trPr>
        <w:tc>
          <w:tcPr>
            <w:tcW w:w="5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5040" w:type="dxa"/>
            <w:vAlign w:val="bottom"/>
            <w:shd w:val="clear" w:color="auto" w:fill="CCEEFF"/>
          </w:tcPr>
          <w:p>
            <w:pPr>
              <w:jc w:val="center"/>
              <w:ind w:right="4023"/>
              <w:spacing w:after="0"/>
              <w:rPr>
                <w:sz w:val="20"/>
                <w:szCs w:val="20"/>
                <w:color w:val="auto"/>
              </w:rPr>
            </w:pPr>
            <w:r>
              <w:rPr>
                <w:rFonts w:ascii="Times New Roman" w:cs="Times New Roman" w:eastAsia="Times New Roman" w:hAnsi="Times New Roman"/>
                <w:sz w:val="11"/>
                <w:szCs w:val="11"/>
                <w:color w:val="auto"/>
              </w:rPr>
              <w:t>Dollar change</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(517)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5,458</w:t>
            </w:r>
          </w:p>
        </w:tc>
      </w:tr>
      <w:tr>
        <w:trPr>
          <w:trHeight w:val="151"/>
        </w:trPr>
        <w:tc>
          <w:tcPr>
            <w:tcW w:w="5040" w:type="dxa"/>
            <w:vAlign w:val="bottom"/>
          </w:tcPr>
          <w:p>
            <w:pPr>
              <w:jc w:val="center"/>
              <w:ind w:right="3963"/>
              <w:spacing w:after="0"/>
              <w:rPr>
                <w:sz w:val="20"/>
                <w:szCs w:val="20"/>
                <w:color w:val="auto"/>
              </w:rPr>
            </w:pPr>
            <w:r>
              <w:rPr>
                <w:rFonts w:ascii="Times New Roman" w:cs="Times New Roman" w:eastAsia="Times New Roman" w:hAnsi="Times New Roman"/>
                <w:sz w:val="11"/>
                <w:szCs w:val="11"/>
                <w:color w:val="auto"/>
              </w:rPr>
              <w:t>Percent change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r>
    </w:tbl>
    <w:p>
      <w:pPr>
        <w:spacing w:after="0" w:line="248"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We report NII at Risk to isolate the change in income related solely to interest-earning assets and interest-bearing liabilities. The NII at Risk results included in the table above reflect the analysis used quarterly by management. It models -200, −100, +100 and +200 basis point parallel shifts in market interest rates. We were within board policy limits for all scenarios at September 30, 2026.</w:t>
      </w:r>
    </w:p>
    <w:p>
      <w:pPr>
        <w:spacing w:after="0" w:line="136"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Tolerance levels for risk management require the continuing development, implementation and monitoring of remedial plans to maintain residual risk within approved levels as we adjust the balance sheet. NII at Risk as of September 30, 2026 indicated that projected net interest income would increase in all of the first-year rate shock scenarios. Throughout 2026, the Bank held to its non-maturity beta assumptions and lowered rates on interest-bearing deposits along with the industry overall. Coupled with market expectations, the Bank continued its strategy of layering on protection to changes in rates through deposit pricing, securities purchase selection and hedging.</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Price Risk. </w:t>
      </w:r>
      <w:r>
        <w:rPr>
          <w:rFonts w:ascii="Times New Roman" w:cs="Times New Roman" w:eastAsia="Times New Roman" w:hAnsi="Times New Roman"/>
          <w:sz w:val="14"/>
          <w:szCs w:val="14"/>
          <w:color w:val="auto"/>
        </w:rPr>
        <w:t>Price risk represents the risk of loss arising from adverse movements in the prices of financial instruments that are carried at fair value and are subject to fair value accounting.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price risk from investment securities, derivative instruments, and equity investments.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81"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The quantitative and qualitative disclosures about market risk are included under “Item 2 – Management’s Discussion and Analysis of Financial Condition and Results of Operations – Quantitative and Qualitative Disclosures about Market Risk”.</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u w:val="single" w:color="auto"/>
          <w:color w:val="auto"/>
        </w:rPr>
        <w:t>Evaluation of disclosure controls and procedures.</w:t>
      </w:r>
      <w:r>
        <w:rPr>
          <w:rFonts w:ascii="Times New Roman" w:cs="Times New Roman" w:eastAsia="Times New Roman" w:hAnsi="Times New Roman"/>
          <w:sz w:val="14"/>
          <w:szCs w:val="14"/>
          <w:color w:val="auto"/>
        </w:rPr>
        <w:t xml:space="preserve"> The Company’s management, including our President and Chief Executive Officer and our Chief Financial Officer, have evaluated the effectiveness of the design and operation of our disclosure controls and procedures (as defined in Rule 13a-15(e) under the Exchange Act), as of the end of the period covered by this report. Based on such evaluation, our President and Chief Executive Officer and our Chief Financial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and its Chief Financial Officer, as appropriate, to allow timely decisions regarding required disclosure.</w:t>
      </w:r>
    </w:p>
    <w:p>
      <w:pPr>
        <w:spacing w:after="0" w:line="168"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u w:val="single" w:color="auto"/>
          <w:color w:val="auto"/>
        </w:rPr>
        <w:t>Changes in internal control over financial reporting.</w:t>
      </w:r>
      <w:r>
        <w:rPr>
          <w:rFonts w:ascii="Times New Roman" w:cs="Times New Roman" w:eastAsia="Times New Roman" w:hAnsi="Times New Roman"/>
          <w:sz w:val="14"/>
          <w:szCs w:val="14"/>
          <w:color w:val="auto"/>
        </w:rPr>
        <w:t xml:space="preserve"> There have not been any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ART</w:t>
      </w:r>
      <w:r>
        <w:rPr>
          <w:rFonts w:ascii="Times New Roman" w:cs="Times New Roman" w:eastAsia="Times New Roman" w:hAnsi="Times New Roman"/>
          <w:sz w:val="14"/>
          <w:szCs w:val="14"/>
          <w:b w:val="1"/>
          <w:bCs w:val="1"/>
          <w:color w:val="auto"/>
        </w:rPr>
        <w:t xml:space="preserve"> II – 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96"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There are no material pending legal proceedings, other than ordinary routine litigation incidental to the business, to which we or any of our subsidiaries is a party or of which any of our property is the subject. However, given the nature, scope and complexity of the extensive legal and regulatory landscape applicable to our business, we, like all banking organizations, are subject to various legal proceedings from time to time, including those referenced in "Note 13 - Commitments, Contingencies and Credit Risk" to our consolidated financial statements.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previously disclosed in the “Risk Factors” section included in our Annual Report on Form 10-K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Company’s repurchase of shares of its outstanding common stock during the third quarter of 2026:</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15"/>
        </w:trPr>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purchased as part of</w:t>
            </w:r>
          </w:p>
        </w:tc>
        <w:tc>
          <w:tcPr>
            <w:tcW w:w="80" w:type="dxa"/>
            <w:vAlign w:val="bottom"/>
          </w:tcPr>
          <w:p>
            <w:pPr>
              <w:spacing w:after="0"/>
              <w:rPr>
                <w:sz w:val="9"/>
                <w:szCs w:val="9"/>
                <w:color w:val="auto"/>
              </w:rPr>
            </w:pPr>
          </w:p>
        </w:tc>
        <w:tc>
          <w:tcPr>
            <w:tcW w:w="1360" w:type="dxa"/>
            <w:vAlign w:val="bottom"/>
          </w:tcPr>
          <w:p>
            <w:pPr>
              <w:jc w:val="center"/>
              <w:ind w:right="23"/>
              <w:spacing w:after="0" w:line="115"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17"/>
        </w:trPr>
        <w:tc>
          <w:tcPr>
            <w:tcW w:w="5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0" w:type="dxa"/>
            <w:vAlign w:val="bottom"/>
            <w:vMerge w:val="restart"/>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00" w:type="dxa"/>
            <w:vAlign w:val="bottom"/>
            <w:vMerge w:val="restart"/>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publicly announced plans or</w:t>
            </w:r>
          </w:p>
        </w:tc>
        <w:tc>
          <w:tcPr>
            <w:tcW w:w="80" w:type="dxa"/>
            <w:vAlign w:val="bottom"/>
          </w:tcPr>
          <w:p>
            <w:pPr>
              <w:spacing w:after="0"/>
              <w:rPr>
                <w:sz w:val="10"/>
                <w:szCs w:val="10"/>
                <w:color w:val="auto"/>
              </w:rPr>
            </w:pPr>
          </w:p>
        </w:tc>
        <w:tc>
          <w:tcPr>
            <w:tcW w:w="136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purchased under the plans</w:t>
            </w:r>
          </w:p>
        </w:tc>
        <w:tc>
          <w:tcPr>
            <w:tcW w:w="0" w:type="dxa"/>
            <w:vAlign w:val="bottom"/>
          </w:tcPr>
          <w:p>
            <w:pPr>
              <w:spacing w:after="0"/>
              <w:rPr>
                <w:sz w:val="1"/>
                <w:szCs w:val="1"/>
                <w:color w:val="auto"/>
              </w:rPr>
            </w:pPr>
          </w:p>
        </w:tc>
      </w:tr>
      <w:tr>
        <w:trPr>
          <w:trHeight w:val="155"/>
        </w:trPr>
        <w:tc>
          <w:tcPr>
            <w:tcW w:w="5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purchased</w:t>
            </w:r>
            <w:r>
              <w:rPr>
                <w:rFonts w:ascii="Times New Roman" w:cs="Times New Roman" w:eastAsia="Times New Roman" w:hAnsi="Times New Roman"/>
                <w:sz w:val="5"/>
                <w:szCs w:val="5"/>
                <w:b w:val="1"/>
                <w:bCs w:val="1"/>
                <w:color w:val="auto"/>
              </w:rPr>
              <w:t>(1)</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or programs</w:t>
            </w: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65"/>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1 - 31, 2026</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24,844,955</w:t>
            </w:r>
          </w:p>
        </w:tc>
        <w:tc>
          <w:tcPr>
            <w:tcW w:w="0" w:type="dxa"/>
            <w:vAlign w:val="bottom"/>
          </w:tcPr>
          <w:p>
            <w:pPr>
              <w:spacing w:after="0"/>
              <w:rPr>
                <w:sz w:val="1"/>
                <w:szCs w:val="1"/>
                <w:color w:val="auto"/>
              </w:rPr>
            </w:pPr>
          </w:p>
        </w:tc>
      </w:tr>
      <w:tr>
        <w:trPr>
          <w:trHeight w:val="160"/>
        </w:trPr>
        <w:tc>
          <w:tcPr>
            <w:tcW w:w="5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1 - 31,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35.22</w:t>
            </w:r>
          </w:p>
        </w:tc>
        <w:tc>
          <w:tcPr>
            <w:tcW w:w="100" w:type="dxa"/>
            <w:vAlign w:val="bottom"/>
          </w:tcPr>
          <w:p>
            <w:pPr>
              <w:spacing w:after="0"/>
              <w:rPr>
                <w:sz w:val="13"/>
                <w:szCs w:val="13"/>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24,844,955</w:t>
            </w:r>
          </w:p>
        </w:tc>
        <w:tc>
          <w:tcPr>
            <w:tcW w:w="0" w:type="dxa"/>
            <w:vAlign w:val="bottom"/>
          </w:tcPr>
          <w:p>
            <w:pPr>
              <w:spacing w:after="0"/>
              <w:rPr>
                <w:sz w:val="1"/>
                <w:szCs w:val="1"/>
                <w:color w:val="auto"/>
              </w:rPr>
            </w:pPr>
          </w:p>
        </w:tc>
      </w:tr>
      <w:tr>
        <w:trPr>
          <w:trHeight w:val="17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1 - 30,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32.08</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24,828,917</w:t>
            </w:r>
          </w:p>
        </w:tc>
        <w:tc>
          <w:tcPr>
            <w:tcW w:w="0" w:type="dxa"/>
            <w:vAlign w:val="bottom"/>
          </w:tcPr>
          <w:p>
            <w:pPr>
              <w:spacing w:after="0"/>
              <w:rPr>
                <w:sz w:val="1"/>
                <w:szCs w:val="1"/>
                <w:color w:val="auto"/>
              </w:rPr>
            </w:pPr>
          </w:p>
        </w:tc>
      </w:tr>
      <w:tr>
        <w:trPr>
          <w:trHeight w:val="170"/>
        </w:trPr>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6,259</w:t>
            </w:r>
          </w:p>
        </w:tc>
        <w:tc>
          <w:tcPr>
            <w:tcW w:w="10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34.96</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24,828,917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of the Company’s common stock repurchased under the stock repurchase program and shares withheld to satisfy tax withholding obligations upon the vesting of awards of restricted stock.</w:t>
      </w:r>
    </w:p>
    <w:p>
      <w:pPr>
        <w:spacing w:after="0" w:line="106" w:lineRule="exact"/>
        <w:rPr>
          <w:rFonts w:ascii="Times New Roman" w:cs="Times New Roman" w:eastAsia="Times New Roman" w:hAnsi="Times New Roman"/>
          <w:sz w:val="11"/>
          <w:szCs w:val="11"/>
          <w:color w:val="auto"/>
        </w:rPr>
      </w:pPr>
    </w:p>
    <w:p>
      <w:pPr>
        <w:ind w:left="260" w:right="20" w:hanging="255"/>
        <w:spacing w:after="0" w:line="265" w:lineRule="auto"/>
        <w:tabs>
          <w:tab w:leader="none" w:pos="254"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previously disclosed, the board of directors of the Company approved a stock repurchase program on November 3, 2025, pursuant to which the Company was authorized to repurchase up to $25.0 million of common stock through November 2, 2026, and on May 5, 2026, the board of directors of the Company approved an amendment to the stock repurchase program that increased the amount of its common stock authorized for repurchase from $25.0 million to $45.0 million and extended the expiration date of the program to December 31, 2026. Stock repurchases under this program may be made from time to time on the open market, in privately negotiated transactions, or in any manner that complies with applicable securities laws, at the discretion of the Company. The timing of purchases and the number of shares repurchased under the programs are dependent upon a variety of factors including price, trading volume, corporate and regulatory requirements and market conditions. The repurchase program may be suspended or discontinued at any time without notice. As of September 30, 2026, 936,438 shares of the Company’s common stock have been repurchased under the program for an aggregate purchase price of $20.2 million.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81"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On July 28, 2026, Jeffrey G. Ludwig, who serves as President, Chief Executive Officer and a director of the Company, terminated a previously disclosed Rule 10b5-1 trading arrangement that was intended to satisfy the affirmative defense of Rule 10b5-1(c) under the Exchange Act. The terminated trading arrangement would have expired on November 16, 2026, and provided for the sale of up to 8,383 shares of Company common stock that were subject to stock options held by Mr. Ludwig, subject to certain conditions, including the expiration of the cooling-off period described in Rule 10b5-1(c).</w:t>
      </w:r>
    </w:p>
    <w:p>
      <w:pPr>
        <w:spacing w:after="0" w:line="140"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On August 20, 2026, Jerry McDaniel, a director of the Company, adopted a Rule 10b5-1 trading arrangement intended to satisfy the affirmative defense of Rule 10b5-1(c) under the Exchange Act. The trading arrangement expires on November 9, 2027, and provides for the sale of up to 30,000 shares of Company common stock beneficially owned by Mr. McDaniel, subject to certain conditions, including the expiration of the cooling-off period described in Rule 10b5-1(c).</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On October 29, 2026, the Company entered into (i) an amendment to the Amended and Restated Employment Agreement, dated as of November 5, 2020, among the Company, the Bank and Jeffrey G. Ludwig, to modify the calculation of severance Mr. Ludwig would be entitled to receive if his employment were terminated under certain circumstances not in connection with a change of control of the Company, such that he would be entitled to a payment equal to 200% of the sum of his salary plus the average of his bonus payments for the prior three years, and (ii) amendments to the change of control agreements between the Bank and each of Claire A. Stack, Jeremy A. Jameson and Daniel E. Casey to modify the calculation of severance each such executive would be entitled to receive if his or her employment were terminated under certain circumstances not in connection with a change of control of the Bank, such that he or she would be entitled to receive a payment equal to 100% of the sum of his or her salary plus the average of his or her bonus payments for the prior three years.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807"/>
        </w:trPr>
        <w:tc>
          <w:tcPr>
            <w:tcW w:w="5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ITEM 6 – EXHIBITS</w:t>
            </w:r>
          </w:p>
        </w:tc>
      </w:tr>
      <w:tr>
        <w:trPr>
          <w:trHeight w:val="287"/>
        </w:trPr>
        <w:tc>
          <w:tcPr>
            <w:tcW w:w="500" w:type="dxa"/>
            <w:vAlign w:val="bottom"/>
          </w:tcPr>
          <w:p>
            <w:pPr>
              <w:spacing w:after="0"/>
              <w:rPr>
                <w:sz w:val="24"/>
                <w:szCs w:val="24"/>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7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2"/>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500" w:type="dxa"/>
            <w:vAlign w:val="bottom"/>
          </w:tcPr>
          <w:p>
            <w:pPr>
              <w:spacing w:after="0"/>
              <w:rPr>
                <w:sz w:val="13"/>
                <w:szCs w:val="13"/>
                <w:color w:val="auto"/>
              </w:rPr>
            </w:pPr>
          </w:p>
        </w:tc>
        <w:tc>
          <w:tcPr>
            <w:tcW w:w="1520" w:type="dxa"/>
            <w:vAlign w:val="bottom"/>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10.1</w:t>
            </w:r>
          </w:p>
        </w:tc>
        <w:tc>
          <w:tcPr>
            <w:tcW w:w="8760" w:type="dxa"/>
            <w:vAlign w:val="bottom"/>
            <w:gridSpan w:val="1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First Amendment to Amended and Restated Employment Agreement, dated as of October 29, 2026, among Midland States Bancorp, Inc., Midland States</w:t>
            </w:r>
          </w:p>
        </w:tc>
      </w:tr>
      <w:tr>
        <w:trPr>
          <w:trHeight w:val="140"/>
        </w:trPr>
        <w:tc>
          <w:tcPr>
            <w:tcW w:w="500" w:type="dxa"/>
            <w:vAlign w:val="bottom"/>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2580" w:type="dxa"/>
            <w:vAlign w:val="bottom"/>
            <w:tcBorders>
              <w:top w:val="single" w:sz="8" w:color="0000FF"/>
              <w:bottom w:val="single" w:sz="8" w:color="0000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Bank and Jeffrey G. Ludwig – filed herewith.</w:t>
            </w:r>
          </w:p>
        </w:tc>
        <w:tc>
          <w:tcPr>
            <w:tcW w:w="610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12"/>
        </w:trPr>
        <w:tc>
          <w:tcPr>
            <w:tcW w:w="202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500" w:type="dxa"/>
            <w:vAlign w:val="bottom"/>
          </w:tcPr>
          <w:p>
            <w:pPr>
              <w:spacing w:after="0"/>
              <w:rPr>
                <w:sz w:val="13"/>
                <w:szCs w:val="13"/>
                <w:color w:val="auto"/>
              </w:rPr>
            </w:pPr>
          </w:p>
        </w:tc>
        <w:tc>
          <w:tcPr>
            <w:tcW w:w="1520" w:type="dxa"/>
            <w:vAlign w:val="bottom"/>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10.2</w:t>
            </w:r>
          </w:p>
        </w:tc>
        <w:tc>
          <w:tcPr>
            <w:tcW w:w="8760" w:type="dxa"/>
            <w:vAlign w:val="bottom"/>
            <w:gridSpan w:val="1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Form of Amendment to Change of Control Agreement, dated as of October 29, 2026, between Midland States Bank and each of Claire A. Stack, Jeremy</w:t>
            </w:r>
          </w:p>
        </w:tc>
      </w:tr>
      <w:tr>
        <w:trPr>
          <w:trHeight w:val="140"/>
        </w:trPr>
        <w:tc>
          <w:tcPr>
            <w:tcW w:w="500" w:type="dxa"/>
            <w:vAlign w:val="bottom"/>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8620" w:type="dxa"/>
            <w:vAlign w:val="bottom"/>
            <w:tcBorders>
              <w:top w:val="single" w:sz="8" w:color="0000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A. Jameson and Daniel E. Casey – filed herewith.</w:t>
            </w:r>
          </w:p>
        </w:tc>
        <w:tc>
          <w:tcPr>
            <w:tcW w:w="140" w:type="dxa"/>
            <w:vAlign w:val="bottom"/>
            <w:tcBorders>
              <w:top w:val="single" w:sz="8" w:color="CCEEFF"/>
            </w:tcBorders>
            <w:gridSpan w:val="2"/>
            <w:shd w:val="clear" w:color="auto" w:fill="CCEEFF"/>
          </w:tcPr>
          <w:p>
            <w:pPr>
              <w:spacing w:after="0"/>
              <w:rPr>
                <w:sz w:val="12"/>
                <w:szCs w:val="12"/>
                <w:color w:val="auto"/>
              </w:rPr>
            </w:pPr>
          </w:p>
        </w:tc>
      </w:tr>
      <w:tr>
        <w:trPr>
          <w:trHeight w:val="212"/>
        </w:trPr>
        <w:tc>
          <w:tcPr>
            <w:tcW w:w="500" w:type="dxa"/>
            <w:vAlign w:val="bottom"/>
          </w:tcPr>
          <w:p>
            <w:pPr>
              <w:spacing w:after="0"/>
              <w:rPr>
                <w:sz w:val="18"/>
                <w:szCs w:val="18"/>
                <w:color w:val="auto"/>
              </w:rPr>
            </w:pPr>
          </w:p>
        </w:tc>
        <w:tc>
          <w:tcPr>
            <w:tcW w:w="152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1"/>
        </w:trPr>
        <w:tc>
          <w:tcPr>
            <w:tcW w:w="500" w:type="dxa"/>
            <w:vAlign w:val="bottom"/>
          </w:tcPr>
          <w:p>
            <w:pPr>
              <w:spacing w:after="0"/>
              <w:rPr>
                <w:sz w:val="14"/>
                <w:szCs w:val="14"/>
                <w:color w:val="auto"/>
              </w:rPr>
            </w:pPr>
          </w:p>
        </w:tc>
        <w:tc>
          <w:tcPr>
            <w:tcW w:w="1520" w:type="dxa"/>
            <w:vAlign w:val="bottom"/>
            <w:tcBorders>
              <w:bottom w:val="single" w:sz="8" w:color="CCEEFF"/>
            </w:tcBorders>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21.1</w:t>
            </w:r>
          </w:p>
        </w:tc>
        <w:tc>
          <w:tcPr>
            <w:tcW w:w="3500" w:type="dxa"/>
            <w:vAlign w:val="bottom"/>
            <w:tcBorders>
              <w:bottom w:val="single" w:sz="8" w:color="0000FF"/>
            </w:tcBorders>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Subsidiaries of Midland States Bancorp, Inc. – filed herewith.</w:t>
            </w:r>
          </w:p>
        </w:tc>
        <w:tc>
          <w:tcPr>
            <w:tcW w:w="5260" w:type="dxa"/>
            <w:vAlign w:val="bottom"/>
            <w:tcBorders>
              <w:bottom w:val="single" w:sz="8" w:color="CCEEFF"/>
            </w:tcBorders>
            <w:gridSpan w:val="7"/>
            <w:shd w:val="clear" w:color="auto" w:fill="CCEEFF"/>
          </w:tcPr>
          <w:p>
            <w:pPr>
              <w:spacing w:after="0"/>
              <w:rPr>
                <w:sz w:val="14"/>
                <w:szCs w:val="14"/>
                <w:color w:val="auto"/>
              </w:rPr>
            </w:pPr>
          </w:p>
        </w:tc>
      </w:tr>
      <w:tr>
        <w:trPr>
          <w:trHeight w:val="212"/>
        </w:trPr>
        <w:tc>
          <w:tcPr>
            <w:tcW w:w="202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1"/>
        </w:trPr>
        <w:tc>
          <w:tcPr>
            <w:tcW w:w="500" w:type="dxa"/>
            <w:vAlign w:val="bottom"/>
          </w:tcPr>
          <w:p>
            <w:pPr>
              <w:spacing w:after="0"/>
              <w:rPr>
                <w:sz w:val="14"/>
                <w:szCs w:val="14"/>
                <w:color w:val="auto"/>
              </w:rPr>
            </w:pPr>
          </w:p>
        </w:tc>
        <w:tc>
          <w:tcPr>
            <w:tcW w:w="1520" w:type="dxa"/>
            <w:vAlign w:val="bottom"/>
            <w:tcBorders>
              <w:bottom w:val="single" w:sz="8" w:color="CCEEFF"/>
            </w:tcBorders>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31.1</w:t>
            </w:r>
          </w:p>
        </w:tc>
        <w:tc>
          <w:tcPr>
            <w:tcW w:w="4740" w:type="dxa"/>
            <w:vAlign w:val="bottom"/>
            <w:tcBorders>
              <w:bottom w:val="single" w:sz="8" w:color="0000FF"/>
            </w:tcBorders>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Chief Executive Officer’s Certification required by Rule 13a-14(a) – filed herewith.</w:t>
            </w:r>
          </w:p>
        </w:tc>
        <w:tc>
          <w:tcPr>
            <w:tcW w:w="4020" w:type="dxa"/>
            <w:vAlign w:val="bottom"/>
            <w:tcBorders>
              <w:bottom w:val="single" w:sz="8" w:color="CCEEFF"/>
            </w:tcBorders>
            <w:gridSpan w:val="5"/>
            <w:shd w:val="clear" w:color="auto" w:fill="CCEEFF"/>
          </w:tcPr>
          <w:p>
            <w:pPr>
              <w:spacing w:after="0"/>
              <w:rPr>
                <w:sz w:val="14"/>
                <w:szCs w:val="14"/>
                <w:color w:val="auto"/>
              </w:rPr>
            </w:pPr>
          </w:p>
        </w:tc>
      </w:tr>
      <w:tr>
        <w:trPr>
          <w:trHeight w:val="159"/>
        </w:trPr>
        <w:tc>
          <w:tcPr>
            <w:tcW w:w="20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500" w:type="dxa"/>
            <w:vAlign w:val="bottom"/>
          </w:tcPr>
          <w:p>
            <w:pPr>
              <w:spacing w:after="0"/>
              <w:rPr>
                <w:sz w:val="14"/>
                <w:szCs w:val="14"/>
                <w:color w:val="auto"/>
              </w:rPr>
            </w:pPr>
          </w:p>
        </w:tc>
        <w:tc>
          <w:tcPr>
            <w:tcW w:w="1520" w:type="dxa"/>
            <w:vAlign w:val="bottom"/>
            <w:tcBorders>
              <w:bottom w:val="single" w:sz="8" w:color="CCEEFF"/>
            </w:tcBorders>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31.2</w:t>
            </w:r>
          </w:p>
        </w:tc>
        <w:tc>
          <w:tcPr>
            <w:tcW w:w="4700" w:type="dxa"/>
            <w:vAlign w:val="bottom"/>
            <w:tcBorders>
              <w:bottom w:val="single" w:sz="8" w:color="0000FF"/>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Chief Financial Officer’s Certification required by Rule 13a-14(a) – filed herewith.</w:t>
            </w:r>
          </w:p>
        </w:tc>
        <w:tc>
          <w:tcPr>
            <w:tcW w:w="4060" w:type="dxa"/>
            <w:vAlign w:val="bottom"/>
            <w:tcBorders>
              <w:bottom w:val="single" w:sz="8" w:color="CCEEFF"/>
            </w:tcBorders>
            <w:gridSpan w:val="6"/>
            <w:shd w:val="clear" w:color="auto" w:fill="CCEEFF"/>
          </w:tcPr>
          <w:p>
            <w:pPr>
              <w:spacing w:after="0"/>
              <w:rPr>
                <w:sz w:val="14"/>
                <w:szCs w:val="14"/>
                <w:color w:val="auto"/>
              </w:rPr>
            </w:pPr>
          </w:p>
        </w:tc>
      </w:tr>
      <w:tr>
        <w:trPr>
          <w:trHeight w:val="159"/>
        </w:trPr>
        <w:tc>
          <w:tcPr>
            <w:tcW w:w="20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00" w:type="dxa"/>
            <w:vAlign w:val="bottom"/>
          </w:tcPr>
          <w:p>
            <w:pPr>
              <w:spacing w:after="0"/>
              <w:rPr>
                <w:sz w:val="13"/>
                <w:szCs w:val="13"/>
                <w:color w:val="auto"/>
              </w:rPr>
            </w:pPr>
          </w:p>
        </w:tc>
        <w:tc>
          <w:tcPr>
            <w:tcW w:w="1520" w:type="dxa"/>
            <w:vAlign w:val="bottom"/>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32.1</w:t>
            </w:r>
          </w:p>
        </w:tc>
        <w:tc>
          <w:tcPr>
            <w:tcW w:w="8760" w:type="dxa"/>
            <w:vAlign w:val="bottom"/>
            <w:gridSpan w:val="1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Chief Executive Officer Certification pursuant to 18 U.S.C. Section 1350, as adopted pursuant to Section 906 of the Sarbanes-Oxley Act of 2002 – filed</w:t>
            </w:r>
          </w:p>
        </w:tc>
      </w:tr>
      <w:tr>
        <w:trPr>
          <w:trHeight w:val="140"/>
        </w:trPr>
        <w:tc>
          <w:tcPr>
            <w:tcW w:w="500" w:type="dxa"/>
            <w:vAlign w:val="bottom"/>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8600" w:type="dxa"/>
            <w:vAlign w:val="bottom"/>
            <w:tcBorders>
              <w:top w:val="single" w:sz="8" w:color="0000FF"/>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herewith.</w:t>
            </w:r>
          </w:p>
        </w:tc>
        <w:tc>
          <w:tcPr>
            <w:tcW w:w="160" w:type="dxa"/>
            <w:vAlign w:val="bottom"/>
            <w:tcBorders>
              <w:top w:val="single" w:sz="8" w:color="CCEEFF"/>
            </w:tcBorders>
            <w:gridSpan w:val="3"/>
            <w:shd w:val="clear" w:color="auto" w:fill="CCEEFF"/>
          </w:tcPr>
          <w:p>
            <w:pPr>
              <w:spacing w:after="0"/>
              <w:rPr>
                <w:sz w:val="12"/>
                <w:szCs w:val="12"/>
                <w:color w:val="auto"/>
              </w:rPr>
            </w:pPr>
          </w:p>
        </w:tc>
      </w:tr>
      <w:tr>
        <w:trPr>
          <w:trHeight w:val="159"/>
        </w:trPr>
        <w:tc>
          <w:tcPr>
            <w:tcW w:w="500" w:type="dxa"/>
            <w:vAlign w:val="bottom"/>
          </w:tcPr>
          <w:p>
            <w:pPr>
              <w:spacing w:after="0"/>
              <w:rPr>
                <w:sz w:val="13"/>
                <w:szCs w:val="13"/>
                <w:color w:val="auto"/>
              </w:rPr>
            </w:pPr>
          </w:p>
        </w:tc>
        <w:tc>
          <w:tcPr>
            <w:tcW w:w="1520" w:type="dxa"/>
            <w:vAlign w:val="bottom"/>
            <w:tcBorders>
              <w:top w:val="single" w:sz="8" w:color="CCEEFF"/>
            </w:tcBorders>
            <w:gridSpan w:val="2"/>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59"/>
        </w:trPr>
        <w:tc>
          <w:tcPr>
            <w:tcW w:w="500" w:type="dxa"/>
            <w:vAlign w:val="bottom"/>
          </w:tcPr>
          <w:p>
            <w:pPr>
              <w:spacing w:after="0"/>
              <w:rPr>
                <w:sz w:val="13"/>
                <w:szCs w:val="13"/>
                <w:color w:val="auto"/>
              </w:rPr>
            </w:pPr>
          </w:p>
        </w:tc>
        <w:tc>
          <w:tcPr>
            <w:tcW w:w="1520" w:type="dxa"/>
            <w:vAlign w:val="bottom"/>
            <w:gridSpan w:val="2"/>
            <w:shd w:val="clear" w:color="auto" w:fill="CCEEFF"/>
          </w:tcPr>
          <w:p>
            <w:pPr>
              <w:jc w:val="center"/>
              <w:ind w:right="280"/>
              <w:spacing w:after="0" w:line="159" w:lineRule="exact"/>
              <w:rPr>
                <w:sz w:val="20"/>
                <w:szCs w:val="20"/>
                <w:color w:val="auto"/>
              </w:rPr>
            </w:pPr>
            <w:r>
              <w:rPr>
                <w:rFonts w:ascii="Times New Roman" w:cs="Times New Roman" w:eastAsia="Times New Roman" w:hAnsi="Times New Roman"/>
                <w:sz w:val="14"/>
                <w:szCs w:val="14"/>
                <w:color w:val="auto"/>
                <w:w w:val="97"/>
              </w:rPr>
              <w:t>32.2</w:t>
            </w:r>
          </w:p>
        </w:tc>
        <w:tc>
          <w:tcPr>
            <w:tcW w:w="8760" w:type="dxa"/>
            <w:vAlign w:val="bottom"/>
            <w:gridSpan w:val="1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Chief Financial Officer Certification pursuant to 18 U.S.C. Section 1350, as adopted pursuant to Section 906 of the Sarbanes-Oxley Act of 2002 – filed</w:t>
            </w:r>
          </w:p>
        </w:tc>
      </w:tr>
      <w:tr>
        <w:trPr>
          <w:trHeight w:val="118"/>
        </w:trPr>
        <w:tc>
          <w:tcPr>
            <w:tcW w:w="500" w:type="dxa"/>
            <w:vAlign w:val="bottom"/>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8560" w:type="dxa"/>
            <w:vAlign w:val="bottom"/>
            <w:tcBorders>
              <w:top w:val="single" w:sz="8" w:color="0000FF"/>
            </w:tcBorders>
            <w:gridSpan w:val="7"/>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herewith.</w:t>
            </w:r>
          </w:p>
        </w:tc>
        <w:tc>
          <w:tcPr>
            <w:tcW w:w="200" w:type="dxa"/>
            <w:vAlign w:val="bottom"/>
            <w:tcBorders>
              <w:top w:val="single" w:sz="8" w:color="CCEEFF"/>
            </w:tcBorders>
            <w:gridSpan w:val="4"/>
            <w:shd w:val="clear" w:color="auto" w:fill="CCEEFF"/>
          </w:tcPr>
          <w:p>
            <w:pPr>
              <w:spacing w:after="0"/>
              <w:rPr>
                <w:sz w:val="10"/>
                <w:szCs w:val="10"/>
                <w:color w:val="auto"/>
              </w:rPr>
            </w:pPr>
          </w:p>
        </w:tc>
      </w:tr>
      <w:tr>
        <w:trPr>
          <w:trHeight w:val="22"/>
        </w:trPr>
        <w:tc>
          <w:tcPr>
            <w:tcW w:w="50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80645</wp:posOffset>
            </wp:positionV>
            <wp:extent cx="6528435" cy="390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28435" cy="390525"/>
                    </a:xfrm>
                    <a:prstGeom prst="rect">
                      <a:avLst/>
                    </a:prstGeom>
                    <a:noFill/>
                  </pic:spPr>
                </pic:pic>
              </a:graphicData>
            </a:graphic>
          </wp:anchor>
        </w:drawing>
      </w:r>
    </w:p>
    <w:p>
      <w:pPr>
        <w:spacing w:after="0" w:line="114" w:lineRule="exact"/>
        <w:rPr>
          <w:sz w:val="20"/>
          <w:szCs w:val="20"/>
          <w:color w:val="auto"/>
        </w:rPr>
      </w:pPr>
    </w:p>
    <w:p>
      <w:pPr>
        <w:ind w:left="2020" w:right="100" w:hanging="1012"/>
        <w:spacing w:after="0" w:line="226" w:lineRule="auto"/>
        <w:tabs>
          <w:tab w:leader="none" w:pos="2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information from the Company’s Quarterly Report on Form 10-Q for the quarterly period ended September 30, 2026 formatted in iXBRL (Inline extensible Business Reporting Language): (i) Consolidated Balance Sheets; (ii) Consolidated Statements of Income; (iii) Consolidated Statements of Comprehensive Income; (iv) Consolidated Statements of Shareholders’ Equity; (v) Consolidated Statements of Cash Flows; and (vi) Notes to Consolidated Financial Statements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82550</wp:posOffset>
            </wp:positionV>
            <wp:extent cx="6528435" cy="215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28435" cy="215900"/>
                    </a:xfrm>
                    <a:prstGeom prst="rect">
                      <a:avLst/>
                    </a:prstGeom>
                    <a:noFill/>
                  </pic:spPr>
                </pic:pic>
              </a:graphicData>
            </a:graphic>
          </wp:anchor>
        </w:drawing>
      </w:r>
    </w:p>
    <w:p>
      <w:pPr>
        <w:spacing w:after="0" w:line="116" w:lineRule="exact"/>
        <w:rPr>
          <w:sz w:val="20"/>
          <w:szCs w:val="20"/>
          <w:color w:val="auto"/>
        </w:rPr>
      </w:pPr>
    </w:p>
    <w:p>
      <w:pPr>
        <w:ind w:left="2020" w:right="80" w:hanging="1012"/>
        <w:spacing w:after="0" w:line="239" w:lineRule="auto"/>
        <w:tabs>
          <w:tab w:leader="none" w:pos="2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Midland States Bancorp, Inc.’s Form 10-Q Report for the quarterly period ended September 30, 2026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00" w:top="116" w:right="8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798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Midland States Bancorp, Inc.</w:t>
            </w:r>
          </w:p>
        </w:tc>
      </w:tr>
      <w:tr>
        <w:trPr>
          <w:trHeight w:val="6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By:</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Jeffrey G. Ludwig</w:t>
            </w:r>
          </w:p>
        </w:tc>
      </w:tr>
      <w:tr>
        <w:trPr>
          <w:trHeight w:val="181"/>
        </w:trPr>
        <w:tc>
          <w:tcPr>
            <w:tcW w:w="3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Jeffrey G. Ludwig</w:t>
            </w:r>
          </w:p>
        </w:tc>
      </w:tr>
      <w:tr>
        <w:trPr>
          <w:trHeight w:val="191"/>
        </w:trPr>
        <w:tc>
          <w:tcPr>
            <w:tcW w:w="3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91"/>
        </w:trPr>
        <w:tc>
          <w:tcPr>
            <w:tcW w:w="3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6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By:</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Claire A. Stack</w:t>
            </w:r>
          </w:p>
        </w:tc>
      </w:tr>
      <w:tr>
        <w:trPr>
          <w:trHeight w:val="181"/>
        </w:trPr>
        <w:tc>
          <w:tcPr>
            <w:tcW w:w="3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Claire A. Stack</w:t>
            </w:r>
          </w:p>
        </w:tc>
      </w:tr>
    </w:tbl>
    <w:p>
      <w:pPr>
        <w:spacing w:after="0" w:line="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3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80"/>
          </w:cols>
          <w:pgMar w:left="300" w:top="125" w:right="319" w:bottom="1440"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 OF MIDLAND STATES BANCORP,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80" w:type="dxa"/>
            <w:vAlign w:val="bottom"/>
            <w:gridSpan w:val="2"/>
          </w:tcPr>
          <w:p>
            <w:pPr>
              <w:ind w:left="1700"/>
              <w:spacing w:after="0"/>
              <w:rPr>
                <w:sz w:val="20"/>
                <w:szCs w:val="20"/>
                <w:color w:val="auto"/>
              </w:rPr>
            </w:pPr>
            <w:r>
              <w:rPr>
                <w:rFonts w:ascii="Times New Roman" w:cs="Times New Roman" w:eastAsia="Times New Roman" w:hAnsi="Times New Roman"/>
                <w:sz w:val="13"/>
                <w:szCs w:val="13"/>
                <w:color w:val="auto"/>
              </w:rPr>
              <w:t>Subsidiary</w:t>
            </w:r>
          </w:p>
        </w:tc>
        <w:tc>
          <w:tcPr>
            <w:tcW w:w="3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Organized Under Laws of</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Percent Owned by the Company</w:t>
            </w:r>
          </w:p>
        </w:tc>
      </w:tr>
      <w:tr>
        <w:trPr>
          <w:trHeight w:val="194"/>
        </w:trPr>
        <w:tc>
          <w:tcPr>
            <w:tcW w:w="3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States Bank</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State of Illinois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100%</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Wealth Advisors LLC</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State of Illinois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100%</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Wealth Insurance Services LLC</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State of Illinois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100%</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States Preferred Securities Trust</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State of 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 of common securities</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Love Savings/Heartland Capital Trust III</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State of 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 of common securities</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Love Savings/Heartland Capital Trust IV</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State of 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 of common securities</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 Park Statutory Trust I</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6"/>
              </w:rPr>
              <w:t>State of Delaware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 of common securities</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Centrue Statutory Trust II</w:t>
            </w:r>
          </w:p>
        </w:tc>
        <w:tc>
          <w:tcPr>
            <w:tcW w:w="35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7"/>
              </w:rPr>
              <w:t>State of Connecticut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 of common securities</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Trust Company</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7"/>
              </w:rPr>
              <w:t>State of Illinois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100% owned by Midland States Bank</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Midland States Investments Inc.</w:t>
            </w:r>
          </w:p>
        </w:tc>
        <w:tc>
          <w:tcPr>
            <w:tcW w:w="3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8"/>
              </w:rPr>
              <w:t>State of Nevada</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100% owned by Midland States Bank</w:t>
            </w:r>
          </w:p>
        </w:tc>
      </w:tr>
    </w:tbl>
    <w:p>
      <w:pPr>
        <w:sectPr>
          <w:pgSz w:w="11900" w:h="16838" w:orient="portrait"/>
          <w:cols w:equalWidth="0" w:num="1">
            <w:col w:w="11280"/>
          </w:cols>
          <w:pgMar w:left="300" w:top="1141"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CERTIFICATIONS REQUIRED BY</w:t>
      </w:r>
    </w:p>
    <w:p>
      <w:pPr>
        <w:spacing w:after="0" w:line="2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RULE 13a-14(a) OR RULE 15d-14(a)</w:t>
      </w:r>
    </w:p>
    <w:p>
      <w:pPr>
        <w:spacing w:after="0" w:line="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Jeffrey G. Ludwig, certify that:</w:t>
      </w:r>
    </w:p>
    <w:p>
      <w:pPr>
        <w:spacing w:after="0" w:line="169"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(the “Report”) of Midland States Bancorp, Inc. (the “Registrant”);</w:t>
      </w:r>
    </w:p>
    <w:p>
      <w:pPr>
        <w:spacing w:after="0" w:line="179" w:lineRule="exact"/>
        <w:rPr>
          <w:rFonts w:ascii="Times New Roman" w:cs="Times New Roman" w:eastAsia="Times New Roman" w:hAnsi="Times New Roman"/>
          <w:sz w:val="13"/>
          <w:szCs w:val="13"/>
          <w:color w:val="auto"/>
        </w:rPr>
      </w:pPr>
    </w:p>
    <w:p>
      <w:pPr>
        <w:ind w:left="260" w:hanging="255"/>
        <w:spacing w:after="0" w:line="264" w:lineRule="auto"/>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3"/>
          <w:szCs w:val="13"/>
          <w:color w:val="auto"/>
        </w:rPr>
      </w:pPr>
    </w:p>
    <w:p>
      <w:pPr>
        <w:ind w:left="260" w:hanging="255"/>
        <w:spacing w:after="0" w:line="281" w:lineRule="auto"/>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Times New Roman" w:cs="Times New Roman" w:eastAsia="Times New Roman" w:hAnsi="Times New Roman"/>
          <w:sz w:val="13"/>
          <w:szCs w:val="13"/>
          <w:color w:val="auto"/>
        </w:rPr>
      </w:pPr>
    </w:p>
    <w:p>
      <w:pPr>
        <w:ind w:left="260" w:hanging="255"/>
        <w:spacing w:after="0" w:line="281" w:lineRule="auto"/>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3"/>
          <w:szCs w:val="13"/>
          <w:color w:val="auto"/>
        </w:rPr>
      </w:pPr>
    </w:p>
    <w:p>
      <w:pPr>
        <w:ind w:left="520" w:hanging="260"/>
        <w:spacing w:after="0" w:line="264" w:lineRule="auto"/>
        <w:tabs>
          <w:tab w:leader="none" w:pos="513"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3"/>
          <w:szCs w:val="13"/>
          <w:color w:val="auto"/>
        </w:rPr>
      </w:pPr>
    </w:p>
    <w:p>
      <w:pPr>
        <w:ind w:left="520" w:hanging="260"/>
        <w:spacing w:after="0" w:line="264" w:lineRule="auto"/>
        <w:tabs>
          <w:tab w:leader="none" w:pos="52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3"/>
          <w:szCs w:val="13"/>
          <w:color w:val="auto"/>
        </w:rPr>
      </w:pPr>
    </w:p>
    <w:p>
      <w:pPr>
        <w:ind w:left="520" w:hanging="260"/>
        <w:spacing w:after="0" w:line="281" w:lineRule="auto"/>
        <w:tabs>
          <w:tab w:leader="none" w:pos="513"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Times New Roman" w:cs="Times New Roman" w:eastAsia="Times New Roman" w:hAnsi="Times New Roman"/>
          <w:sz w:val="13"/>
          <w:szCs w:val="13"/>
          <w:color w:val="auto"/>
        </w:rPr>
      </w:pPr>
    </w:p>
    <w:p>
      <w:pPr>
        <w:ind w:left="520" w:hanging="260"/>
        <w:spacing w:after="0" w:line="281" w:lineRule="auto"/>
        <w:tabs>
          <w:tab w:leader="none" w:pos="52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3"/>
          <w:szCs w:val="13"/>
          <w:color w:val="auto"/>
        </w:rPr>
      </w:pPr>
    </w:p>
    <w:p>
      <w:pPr>
        <w:ind w:left="260" w:hanging="255"/>
        <w:spacing w:after="0" w:line="264" w:lineRule="auto"/>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3"/>
          <w:szCs w:val="13"/>
          <w:color w:val="auto"/>
        </w:rPr>
      </w:pPr>
    </w:p>
    <w:p>
      <w:pPr>
        <w:ind w:left="520" w:hanging="260"/>
        <w:spacing w:after="0" w:line="264" w:lineRule="auto"/>
        <w:tabs>
          <w:tab w:leader="none" w:pos="513"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Midland States Bancorp, Inc.</w:t>
      </w:r>
    </w:p>
    <w:p>
      <w:pPr>
        <w:spacing w:after="0" w:line="86" w:lineRule="exact"/>
        <w:rPr>
          <w:sz w:val="20"/>
          <w:szCs w:val="20"/>
          <w:color w:val="auto"/>
        </w:rPr>
      </w:pPr>
    </w:p>
    <w:p>
      <w:pPr>
        <w:ind w:left="20"/>
        <w:spacing w:after="0"/>
        <w:tabs>
          <w:tab w:leader="none" w:pos="5280" w:val="left"/>
          <w:tab w:leader="none" w:pos="5940" w:val="left"/>
          <w:tab w:leader="none" w:pos="6520" w:val="left"/>
        </w:tabs>
        <w:rPr>
          <w:sz w:val="20"/>
          <w:szCs w:val="20"/>
          <w:color w:val="auto"/>
        </w:rPr>
      </w:pPr>
      <w:r>
        <w:rPr>
          <w:rFonts w:ascii="Times New Roman" w:cs="Times New Roman" w:eastAsia="Times New Roman" w:hAnsi="Times New Roman"/>
          <w:sz w:val="13"/>
          <w:szCs w:val="13"/>
          <w:color w:val="auto"/>
        </w:rPr>
        <w:t>Dated as of: October 29,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Jeffrey G. Ludwig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12700</wp:posOffset>
            </wp:positionV>
            <wp:extent cx="33820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Jeffrey G. Ludwig</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0"/>
          </w:cols>
          <w:pgMar w:left="300" w:top="727"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CERTIFICATIONS REQUIRED BY</w:t>
      </w:r>
    </w:p>
    <w:p>
      <w:pPr>
        <w:spacing w:after="0" w:line="2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RULE 13a-14(a) OR RULE 15d-14(a)</w:t>
      </w:r>
    </w:p>
    <w:p>
      <w:pPr>
        <w:spacing w:after="0" w:line="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Claire A. Stack, certify that:</w:t>
      </w:r>
    </w:p>
    <w:p>
      <w:pPr>
        <w:spacing w:after="0" w:line="169"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(the “Report”) of Midland States Bancorp, Inc. (the “Registrant”);</w:t>
      </w:r>
    </w:p>
    <w:p>
      <w:pPr>
        <w:spacing w:after="0" w:line="179" w:lineRule="exact"/>
        <w:rPr>
          <w:rFonts w:ascii="Times New Roman" w:cs="Times New Roman" w:eastAsia="Times New Roman" w:hAnsi="Times New Roman"/>
          <w:sz w:val="13"/>
          <w:szCs w:val="13"/>
          <w:color w:val="auto"/>
        </w:rPr>
      </w:pPr>
    </w:p>
    <w:p>
      <w:pPr>
        <w:ind w:left="260" w:hanging="255"/>
        <w:spacing w:after="0" w:line="264" w:lineRule="auto"/>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3"/>
          <w:szCs w:val="13"/>
          <w:color w:val="auto"/>
        </w:rPr>
      </w:pPr>
    </w:p>
    <w:p>
      <w:pPr>
        <w:ind w:left="260" w:hanging="255"/>
        <w:spacing w:after="0" w:line="264" w:lineRule="auto"/>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3"/>
          <w:szCs w:val="13"/>
          <w:color w:val="auto"/>
        </w:rPr>
      </w:pPr>
    </w:p>
    <w:p>
      <w:pPr>
        <w:ind w:left="260" w:hanging="255"/>
        <w:spacing w:after="0" w:line="281" w:lineRule="auto"/>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3"/>
          <w:szCs w:val="13"/>
          <w:color w:val="auto"/>
        </w:rPr>
      </w:pPr>
    </w:p>
    <w:p>
      <w:pPr>
        <w:ind w:left="520" w:hanging="260"/>
        <w:spacing w:after="0" w:line="281" w:lineRule="auto"/>
        <w:tabs>
          <w:tab w:leader="none" w:pos="513"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3"/>
          <w:szCs w:val="13"/>
          <w:color w:val="auto"/>
        </w:rPr>
      </w:pPr>
    </w:p>
    <w:p>
      <w:pPr>
        <w:ind w:left="520" w:hanging="260"/>
        <w:spacing w:after="0" w:line="264" w:lineRule="auto"/>
        <w:tabs>
          <w:tab w:leader="none" w:pos="5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3"/>
          <w:szCs w:val="13"/>
          <w:color w:val="auto"/>
        </w:rPr>
      </w:pPr>
    </w:p>
    <w:p>
      <w:pPr>
        <w:ind w:left="520" w:hanging="260"/>
        <w:spacing w:after="0" w:line="264" w:lineRule="auto"/>
        <w:tabs>
          <w:tab w:leader="none" w:pos="513"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3"/>
          <w:szCs w:val="13"/>
          <w:color w:val="auto"/>
        </w:rPr>
      </w:pPr>
    </w:p>
    <w:p>
      <w:pPr>
        <w:ind w:left="520" w:hanging="260"/>
        <w:spacing w:after="0" w:line="281" w:lineRule="auto"/>
        <w:tabs>
          <w:tab w:leader="none" w:pos="5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3"/>
          <w:szCs w:val="13"/>
          <w:color w:val="auto"/>
        </w:rPr>
      </w:pPr>
    </w:p>
    <w:p>
      <w:pPr>
        <w:ind w:left="260" w:hanging="255"/>
        <w:spacing w:after="0" w:line="281" w:lineRule="auto"/>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Times New Roman" w:cs="Times New Roman" w:eastAsia="Times New Roman" w:hAnsi="Times New Roman"/>
          <w:sz w:val="13"/>
          <w:szCs w:val="13"/>
          <w:color w:val="auto"/>
        </w:rPr>
      </w:pPr>
    </w:p>
    <w:p>
      <w:pPr>
        <w:ind w:left="520" w:hanging="260"/>
        <w:spacing w:after="0" w:line="264" w:lineRule="auto"/>
        <w:tabs>
          <w:tab w:leader="none" w:pos="513"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Midland States Bancorp, Inc.</w:t>
      </w:r>
    </w:p>
    <w:p>
      <w:pPr>
        <w:spacing w:after="0" w:line="86" w:lineRule="exact"/>
        <w:rPr>
          <w:sz w:val="20"/>
          <w:szCs w:val="20"/>
          <w:color w:val="auto"/>
        </w:rPr>
      </w:pPr>
    </w:p>
    <w:p>
      <w:pPr>
        <w:ind w:left="20"/>
        <w:spacing w:after="0"/>
        <w:tabs>
          <w:tab w:leader="none" w:pos="5280" w:val="left"/>
          <w:tab w:leader="none" w:pos="5940" w:val="left"/>
          <w:tab w:leader="none" w:pos="6520" w:val="left"/>
        </w:tabs>
        <w:rPr>
          <w:sz w:val="20"/>
          <w:szCs w:val="20"/>
          <w:color w:val="auto"/>
        </w:rPr>
      </w:pPr>
      <w:r>
        <w:rPr>
          <w:rFonts w:ascii="Times New Roman" w:cs="Times New Roman" w:eastAsia="Times New Roman" w:hAnsi="Times New Roman"/>
          <w:sz w:val="13"/>
          <w:szCs w:val="13"/>
          <w:color w:val="auto"/>
        </w:rPr>
        <w:t>Dated as of: October 29,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w:t>
      </w:r>
      <w:r>
        <w:rPr>
          <w:sz w:val="20"/>
          <w:szCs w:val="20"/>
          <w:color w:val="auto"/>
        </w:rPr>
        <w:tab/>
      </w:r>
      <w:r>
        <w:rPr>
          <w:rFonts w:ascii="Times New Roman" w:cs="Times New Roman" w:eastAsia="Times New Roman" w:hAnsi="Times New Roman"/>
          <w:sz w:val="12"/>
          <w:szCs w:val="12"/>
          <w:color w:val="auto"/>
        </w:rPr>
        <w:t>Claire A.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12700</wp:posOffset>
            </wp:positionV>
            <wp:extent cx="33820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Claire A. Stack</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(Principal Financial Officer and Principal Accounting Officer)</w:t>
      </w:r>
    </w:p>
    <w:p>
      <w:pPr>
        <w:sectPr>
          <w:pgSz w:w="11900" w:h="16838" w:orient="portrait"/>
          <w:cols w:equalWidth="0" w:num="1">
            <w:col w:w="11280"/>
          </w:cols>
          <w:pgMar w:left="300" w:top="727"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 Jeffrey G. Ludwig, President and Chief Executive Officer of Midland States Bancorp, Inc. (the “Company”) certify, pursuant to 18 U.S.C. Section 1350, as adopted pursuant to Section 906 of the Sarbanes-Oxley Act of 2002, that to the best of my knowledge:</w:t>
      </w:r>
    </w:p>
    <w:p>
      <w:pPr>
        <w:spacing w:after="0" w:line="117" w:lineRule="exact"/>
        <w:rPr>
          <w:sz w:val="20"/>
          <w:szCs w:val="20"/>
          <w:color w:val="auto"/>
        </w:rPr>
      </w:pPr>
    </w:p>
    <w:p>
      <w:pPr>
        <w:ind w:left="260" w:hanging="255"/>
        <w:spacing w:after="0" w:line="281" w:lineRule="auto"/>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Quarterly Report on Form 10-Q of the Company for the quarterly period ended September 30, 2026 (the “Report”) fully complies with the requirements of Sections 13(a) or 15(d) of the Securities Exchange Act of 1934; and</w:t>
      </w:r>
    </w:p>
    <w:p>
      <w:pPr>
        <w:spacing w:after="0" w:line="127"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7740" w:type="dxa"/>
            <w:vAlign w:val="bottom"/>
            <w:gridSpan w:val="3"/>
          </w:tcPr>
          <w:p>
            <w:pPr>
              <w:ind w:left="1840"/>
              <w:spacing w:after="0"/>
              <w:rPr>
                <w:sz w:val="20"/>
                <w:szCs w:val="20"/>
                <w:color w:val="auto"/>
              </w:rPr>
            </w:pPr>
            <w:r>
              <w:rPr>
                <w:rFonts w:ascii="Times New Roman" w:cs="Times New Roman" w:eastAsia="Times New Roman" w:hAnsi="Times New Roman"/>
                <w:sz w:val="13"/>
                <w:szCs w:val="13"/>
                <w:b w:val="1"/>
                <w:bCs w:val="1"/>
                <w:color w:val="auto"/>
              </w:rPr>
              <w:t>Midland States Bancorp, Inc.</w:t>
            </w:r>
          </w:p>
        </w:tc>
      </w:t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Dated as of: October 29, 2026</w:t>
            </w:r>
          </w:p>
        </w:tc>
        <w:tc>
          <w:tcPr>
            <w:tcW w:w="2480" w:type="dxa"/>
            <w:vAlign w:val="bottom"/>
          </w:tcPr>
          <w:p>
            <w:pPr>
              <w:ind w:left="1840"/>
              <w:spacing w:after="0"/>
              <w:rPr>
                <w:sz w:val="20"/>
                <w:szCs w:val="20"/>
                <w:color w:val="auto"/>
              </w:rPr>
            </w:pPr>
            <w:r>
              <w:rPr>
                <w:rFonts w:ascii="Times New Roman" w:cs="Times New Roman" w:eastAsia="Times New Roman" w:hAnsi="Times New Roman"/>
                <w:sz w:val="13"/>
                <w:szCs w:val="13"/>
                <w:color w:val="auto"/>
              </w:rPr>
              <w:t>By:</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Jeffrey G. Ludwig</w:t>
            </w:r>
          </w:p>
        </w:tc>
      </w:tr>
      <w:tr>
        <w:trPr>
          <w:trHeight w:val="169"/>
        </w:trPr>
        <w:tc>
          <w:tcPr>
            <w:tcW w:w="3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Jeffrey G. Ludwig</w:t>
            </w:r>
          </w:p>
        </w:tc>
      </w:tr>
    </w:tbl>
    <w:p>
      <w:pPr>
        <w:spacing w:after="0" w:line="1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p>
      <w:pPr>
        <w:spacing w:after="0" w:line="3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0"/>
          </w:cols>
          <w:pgMar w:left="300" w:top="727"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 Claire A. Stack, Chief Financial Officer of Midland States Bancorp, Inc. (the “Company”) certify, pursuant to 18 U.S.C. Section 1350, as adopted pursuant to Section 906 of the Sarbanes-Oxley Act of 2002, that to the best of my knowledge:</w:t>
      </w:r>
    </w:p>
    <w:p>
      <w:pPr>
        <w:spacing w:after="0" w:line="117" w:lineRule="exact"/>
        <w:rPr>
          <w:sz w:val="20"/>
          <w:szCs w:val="20"/>
          <w:color w:val="auto"/>
        </w:rPr>
      </w:pPr>
    </w:p>
    <w:p>
      <w:pPr>
        <w:ind w:left="260" w:hanging="255"/>
        <w:spacing w:after="0" w:line="281" w:lineRule="auto"/>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Quarterly Report on Form 10-Q of the Company for the quarterly period ended September 30, 2026 (the “Report”) fully complies with the requirements of Sections 13(a) or 15(d) of the Securities Exchange Act of 1934; and</w:t>
      </w:r>
    </w:p>
    <w:p>
      <w:pPr>
        <w:spacing w:after="0" w:line="127"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7740" w:type="dxa"/>
            <w:vAlign w:val="bottom"/>
            <w:gridSpan w:val="3"/>
          </w:tcPr>
          <w:p>
            <w:pPr>
              <w:ind w:left="1840"/>
              <w:spacing w:after="0"/>
              <w:rPr>
                <w:sz w:val="20"/>
                <w:szCs w:val="20"/>
                <w:color w:val="auto"/>
              </w:rPr>
            </w:pPr>
            <w:r>
              <w:rPr>
                <w:rFonts w:ascii="Times New Roman" w:cs="Times New Roman" w:eastAsia="Times New Roman" w:hAnsi="Times New Roman"/>
                <w:sz w:val="13"/>
                <w:szCs w:val="13"/>
                <w:b w:val="1"/>
                <w:bCs w:val="1"/>
                <w:color w:val="auto"/>
              </w:rPr>
              <w:t>Midland States Bancorp, Inc.</w:t>
            </w:r>
          </w:p>
        </w:tc>
      </w:t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Dated as of: October 29, 2026</w:t>
            </w:r>
          </w:p>
        </w:tc>
        <w:tc>
          <w:tcPr>
            <w:tcW w:w="2480" w:type="dxa"/>
            <w:vAlign w:val="bottom"/>
          </w:tcPr>
          <w:p>
            <w:pPr>
              <w:ind w:left="1840"/>
              <w:spacing w:after="0"/>
              <w:rPr>
                <w:sz w:val="20"/>
                <w:szCs w:val="20"/>
                <w:color w:val="auto"/>
              </w:rPr>
            </w:pPr>
            <w:r>
              <w:rPr>
                <w:rFonts w:ascii="Times New Roman" w:cs="Times New Roman" w:eastAsia="Times New Roman" w:hAnsi="Times New Roman"/>
                <w:sz w:val="13"/>
                <w:szCs w:val="13"/>
                <w:color w:val="auto"/>
              </w:rPr>
              <w:t>By:</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Claire A. Stack</w:t>
            </w:r>
          </w:p>
        </w:tc>
      </w:tr>
      <w:tr>
        <w:trPr>
          <w:trHeight w:val="169"/>
        </w:trPr>
        <w:tc>
          <w:tcPr>
            <w:tcW w:w="3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Claire A. Stack</w:t>
            </w:r>
          </w:p>
        </w:tc>
      </w:tr>
      <w:tr>
        <w:trPr>
          <w:trHeight w:val="195"/>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76"/>
        </w:trPr>
        <w:tc>
          <w:tcPr>
            <w:tcW w:w="33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2026-10-29T15:47:06Z</dcterms:created>
  <dcterms:modified xsi:type="dcterms:W3CDTF">2026-10-29T15:47:06Z</dcterms:modified>
</cp:coreProperties>
</file>