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6960-1_s3.htm"/>
        <w:bookmarkStart w:id="1" w:name="kstm26269601_s3"/>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We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We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10" w:before="717" w:after="437"/>
        <w:ind w:left="580" w:right="40" w:hanging="0"/>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As filed with the Securities and Exchange Commission on October 6, 2026.</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lineRule="atLeast" w:line="210" w:before="40" w:after="283"/>
        <w:jc w:val="right"/>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Registration No. 333-    </w:t>
      </w:r>
      <w:r>
        <w:rPr>
          <w:rFonts w:ascii="Times New Roman;Times;serif" w:hAnsi="Times New Roman;Times;serif"/>
          <w:b/>
          <w:i w:val="false"/>
          <w:caps w:val="false"/>
          <w:smallCaps w:val="false"/>
          <w:color w:val="000000"/>
          <w:sz w:val="18"/>
          <w:shd w:fill="FFFFFF" w:val="clear"/>
        </w:rPr>
        <w:t>​</w:t>
      </w:r>
    </w:p>
    <w:p>
      <w:pPr>
        <w:pStyle w:val="TextBody"/>
        <w:bidi w:val="0"/>
        <w:spacing w:before="36"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46"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10" w:before="86"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UNITED STATES</w:t>
      </w:r>
      <w:r>
        <w:rPr>
          <w:rFonts w:ascii="Times New Roman;Times;serif" w:hAnsi="Times New Roman;Times;serif"/>
          <w:b/>
          <w:i w:val="false"/>
          <w:caps w:val="false"/>
          <w:smallCaps w:val="false"/>
          <w:color w:val="000000"/>
          <w:sz w:val="32"/>
          <w:shd w:fill="FFFFFF" w:val="clear"/>
        </w:rPr>
        <w:t xml:space="preserve"> </w:t>
        <w:br/>
      </w:r>
      <w:r>
        <w:rPr>
          <w:rFonts w:ascii="Times New Roman;Times;serif" w:hAnsi="Times New Roman;Times;serif"/>
          <w:b/>
          <w:i w:val="false"/>
          <w:caps w:val="false"/>
          <w:smallCaps w:val="false"/>
          <w:color w:val="000000"/>
          <w:spacing w:val="-6"/>
          <w:sz w:val="32"/>
          <w:shd w:fill="FFFFFF" w:val="clear"/>
        </w:rPr>
        <w:t>SECURITIES AND EXCHANGE COMMISSION</w:t>
      </w:r>
      <w:r>
        <w:rPr>
          <w:rFonts w:ascii="Times New Roman;Times;serif" w:hAnsi="Times New Roman;Times;serif"/>
          <w:b/>
          <w:i w:val="false"/>
          <w:caps w:val="false"/>
          <w:smallCaps w:val="false"/>
          <w:color w:val="000000"/>
          <w:sz w:val="32"/>
          <w:shd w:fill="FFFFFF" w:val="clear"/>
        </w:rPr>
        <w:t xml:space="preserve"> </w:t>
      </w:r>
    </w:p>
    <w:p>
      <w:pPr>
        <w:pStyle w:val="TextBody"/>
        <w:bidi w:val="0"/>
        <w:spacing w:lineRule="atLeast" w:line="210" w:before="26"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Washington, D.C. 20549</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before="13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50" w:before="126"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FORM S-3</w:t>
      </w:r>
      <w:r>
        <w:rPr>
          <w:rFonts w:ascii="Times New Roman;Times;serif" w:hAnsi="Times New Roman;Times;serif"/>
          <w:b/>
          <w:i w:val="false"/>
          <w:caps w:val="false"/>
          <w:smallCaps w:val="false"/>
          <w:color w:val="000000"/>
          <w:sz w:val="32"/>
          <w:shd w:fill="FFFFFF" w:val="clear"/>
        </w:rPr>
        <w:t xml:space="preserve"> </w:t>
      </w:r>
    </w:p>
    <w:p>
      <w:pPr>
        <w:pStyle w:val="TextBody"/>
        <w:bidi w:val="0"/>
        <w:spacing w:lineRule="atLeast" w:line="200" w:before="26" w:after="283"/>
        <w:jc w:val="center"/>
        <w:rPr>
          <w:rFonts w:ascii="Times New Roman;Times;serif" w:hAnsi="Times New Roman;Times;serif"/>
          <w:b/>
          <w:i/>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REGISTRATION STATEMENT</w:t>
      </w:r>
      <w:r>
        <w:rPr>
          <w:rFonts w:ascii="Times New Roman;Times;serif" w:hAnsi="Times New Roman;Times;serif"/>
          <w:b/>
          <w:i/>
          <w:caps w:val="false"/>
          <w:smallCaps w:val="false"/>
          <w:color w:val="000000"/>
          <w:sz w:val="18"/>
          <w:shd w:fill="FFFFFF" w:val="clear"/>
        </w:rPr>
        <w:t xml:space="preserve"> </w:t>
        <w:br/>
      </w:r>
      <w:r>
        <w:rPr>
          <w:rFonts w:ascii="Times New Roman;Times;serif" w:hAnsi="Times New Roman;Times;serif"/>
          <w:b/>
          <w:i/>
          <w:caps w:val="false"/>
          <w:smallCaps w:val="false"/>
          <w:color w:val="000000"/>
          <w:spacing w:val="-4"/>
          <w:sz w:val="18"/>
          <w:shd w:fill="FFFFFF" w:val="clear"/>
        </w:rPr>
        <w:t>UNDER</w:t>
      </w:r>
      <w:r>
        <w:rPr>
          <w:rFonts w:ascii="Times New Roman;Times;serif" w:hAnsi="Times New Roman;Times;serif"/>
          <w:b/>
          <w:i/>
          <w:caps w:val="false"/>
          <w:smallCaps w:val="false"/>
          <w:color w:val="000000"/>
          <w:sz w:val="18"/>
          <w:shd w:fill="FFFFFF" w:val="clear"/>
        </w:rPr>
        <w:t xml:space="preserve"> </w:t>
        <w:br/>
      </w:r>
      <w:r>
        <w:rPr>
          <w:rFonts w:ascii="Times New Roman;Times;serif" w:hAnsi="Times New Roman;Times;serif"/>
          <w:b/>
          <w:i/>
          <w:caps w:val="false"/>
          <w:smallCaps w:val="false"/>
          <w:color w:val="000000"/>
          <w:spacing w:val="-4"/>
          <w:sz w:val="18"/>
          <w:shd w:fill="FFFFFF" w:val="clear"/>
        </w:rPr>
        <w:t>THE SECURITIES ACT OF 1933</w:t>
      </w:r>
      <w:r>
        <w:rPr>
          <w:rFonts w:ascii="Times New Roman;Times;serif" w:hAnsi="Times New Roman;Times;serif"/>
          <w:b/>
          <w:i/>
          <w:caps w:val="false"/>
          <w:smallCaps w:val="false"/>
          <w:color w:val="000000"/>
          <w:spacing w:val="4"/>
          <w:sz w:val="18"/>
          <w:shd w:fill="FFFFFF" w:val="clear"/>
        </w:rPr>
        <w:t xml:space="preserve"> </w:t>
      </w:r>
    </w:p>
    <w:p>
      <w:pPr>
        <w:pStyle w:val="TextBody"/>
        <w:bidi w:val="0"/>
        <w:spacing w:before="13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30" w:before="126" w:after="283"/>
        <w:jc w:val="center"/>
        <w:rPr>
          <w:rFonts w:ascii="Times New Roman;Times;serif" w:hAnsi="Times New Roman;Times;serif"/>
          <w:b w:val="false"/>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MIDLAND STATES BANCORP, INC.</w:t>
      </w:r>
      <w:r>
        <w:rPr>
          <w:rFonts w:ascii="Times New Roman;Times;serif" w:hAnsi="Times New Roman;Times;serif"/>
          <w:b w:val="false"/>
          <w:i w:val="false"/>
          <w:caps w:val="false"/>
          <w:smallCaps w:val="false"/>
          <w:color w:val="000000"/>
          <w:spacing w:val="6"/>
          <w:sz w:val="32"/>
          <w:shd w:fill="FFFFFF" w:val="clear"/>
        </w:rPr>
        <w:t xml:space="preserve"> </w:t>
      </w:r>
      <w:r>
        <w:rPr>
          <w:rFonts w:ascii="Times New Roman;Times;serif" w:hAnsi="Times New Roman;Times;serif"/>
          <w:b w:val="false"/>
          <w:i w:val="false"/>
          <w:caps w:val="false"/>
          <w:smallCaps w:val="false"/>
          <w:color w:val="000000"/>
          <w:sz w:val="32"/>
          <w:shd w:fill="FFFFFF" w:val="clear"/>
        </w:rPr>
        <w:br/>
      </w:r>
      <w:r>
        <w:rPr>
          <w:rFonts w:ascii="Times New Roman;Times;serif" w:hAnsi="Times New Roman;Times;serif"/>
          <w:b w:val="false"/>
          <w:i w:val="false"/>
          <w:caps w:val="false"/>
          <w:smallCaps w:val="false"/>
          <w:color w:val="000000"/>
          <w:spacing w:val="3"/>
          <w:sz w:val="16"/>
          <w:shd w:fill="FFFFFF" w:val="clear"/>
        </w:rPr>
        <w:t>(Exact name of registrant as specified in its charter)</w:t>
      </w:r>
      <w:r>
        <w:rPr>
          <w:rFonts w:ascii="Times New Roman;Times;serif" w:hAnsi="Times New Roman;Times;serif"/>
          <w:b w:val="false"/>
          <w:i w:val="false"/>
          <w:caps w:val="false"/>
          <w:smallCaps w:val="false"/>
          <w:color w:val="000000"/>
          <w:spacing w:val="6"/>
          <w:sz w:val="32"/>
          <w:shd w:fill="FFFFFF" w:val="clear"/>
        </w:rPr>
        <w:t xml:space="preserve"> </w:t>
      </w:r>
    </w:p>
    <w:p>
      <w:pPr>
        <w:pStyle w:val="TextBody"/>
        <w:bidi w:val="0"/>
        <w:spacing w:before="146"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2572" w:type="dxa"/>
        <w:jc w:val="left"/>
        <w:tblInd w:w="580" w:type="dxa"/>
        <w:tblLayout w:type="fixed"/>
        <w:tblCellMar>
          <w:top w:w="0" w:type="dxa"/>
          <w:left w:w="0" w:type="dxa"/>
          <w:bottom w:w="0" w:type="dxa"/>
          <w:right w:w="0" w:type="dxa"/>
        </w:tblCellMar>
      </w:tblPr>
      <w:tblGrid>
        <w:gridCol w:w="124"/>
        <w:gridCol w:w="783"/>
        <w:gridCol w:w="109"/>
        <w:gridCol w:w="109"/>
        <w:gridCol w:w="1293"/>
        <w:gridCol w:w="154"/>
      </w:tblGrid>
      <w:tr>
        <w:trPr/>
        <w:tc>
          <w:tcPr>
            <w:tcW w:w="124" w:type="dxa"/>
            <w:tcBorders/>
            <w:vAlign w:val="center"/>
          </w:tcPr>
          <w:p>
            <w:pPr>
              <w:pStyle w:val="TableContents"/>
              <w:bidi w:val="0"/>
              <w:spacing w:before="0" w:after="283"/>
              <w:jc w:val="left"/>
              <w:rPr/>
            </w:pPr>
            <w:r>
              <w:rPr/>
              <w:t>​</w:t>
            </w:r>
          </w:p>
        </w:tc>
        <w:tc>
          <w:tcPr>
            <w:tcW w:w="783" w:type="dxa"/>
            <w:tcBorders/>
            <w:vAlign w:val="center"/>
          </w:tcPr>
          <w:p>
            <w:pPr>
              <w:pStyle w:val="TableContents"/>
              <w:bidi w:val="0"/>
              <w:spacing w:before="0" w:after="0"/>
              <w:jc w:val="center"/>
              <w:rPr/>
            </w:pPr>
            <w:r>
              <w:rPr>
                <w:spacing w:val="-4"/>
              </w:rPr>
              <w:t>Illinois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3" w:type="dxa"/>
            <w:tcBorders/>
            <w:vAlign w:val="center"/>
          </w:tcPr>
          <w:p>
            <w:pPr>
              <w:pStyle w:val="TableContents"/>
              <w:bidi w:val="0"/>
              <w:spacing w:before="0" w:after="0"/>
              <w:jc w:val="center"/>
              <w:rPr/>
            </w:pPr>
            <w:r>
              <w:rPr>
                <w:spacing w:val="-4"/>
              </w:rPr>
              <w:t>37-1233196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6" w:after="283"/>
        <w:ind w:left="580" w:right="40" w:hanging="0"/>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1201 Network Centre Drive</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Effingham, Illinois 62401</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 xml:space="preserve">(217) 342-7321 </w:t>
      </w:r>
    </w:p>
    <w:p>
      <w:pPr>
        <w:pStyle w:val="TextBody"/>
        <w:bidi w:val="0"/>
        <w:spacing w:before="14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126"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Jeffrey G. Ludwig</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Chief Executive Officer and President</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Midland States Bancorp, Inc.</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1201 Network Centre Drive</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Effingham, Illinois 62401</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 xml:space="preserve">(217) 342-7321 </w:t>
      </w:r>
    </w:p>
    <w:p>
      <w:pPr>
        <w:pStyle w:val="TextBody"/>
        <w:bidi w:val="0"/>
        <w:spacing w:before="14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26"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Copy to:</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lineRule="atLeast" w:line="200" w:before="120"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Bill Fay</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Barack Ferrazzano Kirschbaum &amp; Nagelberg LLP</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200 West Madison Street, Suite 3900</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Chicago, Illinois 60606</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(312) 984-3100</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before="14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26" w:after="283"/>
        <w:ind w:left="580" w:right="40" w:firstLine="400"/>
        <w:jc w:val="left"/>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Approximate date of commencement of proposed sale to the public</w:t>
      </w:r>
      <w:r>
        <w:rPr>
          <w:rFonts w:ascii="Times New Roman;Times;serif" w:hAnsi="Times New Roman;Times;serif"/>
          <w:b w:val="false"/>
          <w:i w:val="false"/>
          <w:caps w:val="false"/>
          <w:smallCaps w:val="false"/>
          <w:color w:val="000000"/>
          <w:spacing w:val="4"/>
          <w:sz w:val="18"/>
          <w:shd w:fill="FFFFFF" w:val="clear"/>
        </w:rPr>
        <w:t xml:space="preserve">: From time to time after the effective date of this registration statement.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68" w:type="dxa"/>
        <w:jc w:val="left"/>
        <w:tblInd w:w="580" w:type="dxa"/>
        <w:tblLayout w:type="fixed"/>
        <w:tblCellMar>
          <w:top w:w="0" w:type="dxa"/>
          <w:left w:w="0" w:type="dxa"/>
          <w:bottom w:w="0" w:type="dxa"/>
          <w:right w:w="0" w:type="dxa"/>
        </w:tblCellMar>
      </w:tblPr>
      <w:tblGrid>
        <w:gridCol w:w="124"/>
        <w:gridCol w:w="22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2192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2192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8" w:after="283"/>
        <w:ind w:left="580" w:right="40" w:firstLine="400"/>
        <w:jc w:val="left"/>
        <w:rPr>
          <w:rFonts w:ascii="Times New Roman;Times;serif" w:hAnsi="Times New Roman;Times;serif"/>
          <w:b w:val="false"/>
          <w:i w:val="false"/>
          <w:caps w:val="false"/>
          <w:smallCaps w:val="false"/>
          <w:color w:val="000000"/>
          <w:spacing w:val="4"/>
          <w:sz w:val="18"/>
          <w:shd w:fill="FFFFFF" w:val="clear"/>
        </w:rPr>
      </w:pPr>
      <w:r>
        <w:rPr>
          <w:rFonts w:ascii="Times New Roman;Times;serif" w:hAnsi="Times New Roman;Times;serif"/>
          <w:b w:val="false"/>
          <w:i w:val="false"/>
          <w:caps w:val="false"/>
          <w:smallCaps w:val="false"/>
          <w:color w:val="000000"/>
          <w:spacing w:val="4"/>
          <w:sz w:val="18"/>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lineRule="atLeast" w:line="200" w:before="60" w:after="283"/>
        <w:ind w:left="580" w:right="40" w:firstLine="400"/>
        <w:jc w:val="left"/>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before="98"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48"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793" w:right="40" w:hanging="0"/>
        <w:jc w:val="center"/>
        <w:rPr>
          <w:rFonts w:ascii="Times New Roman;Times;serif" w:hAnsi="Times New Roman;Times;serif"/>
          <w:b/>
          <w:i w:val="false"/>
          <w:caps w:val="false"/>
          <w:smallCaps w:val="false"/>
          <w:color w:val="FC0014"/>
          <w:sz w:val="20"/>
          <w:shd w:fill="FFFFFF" w:val="clear"/>
        </w:rPr>
      </w:pPr>
      <w:r>
        <w:rPr>
          <w:rFonts w:ascii="Times New Roman;Times;serif" w:hAnsi="Times New Roman;Times;serif"/>
          <w:b/>
          <w:i w:val="false"/>
          <w:caps w:val="false"/>
          <w:smallCaps w:val="false"/>
          <w:color w:val="FC0014"/>
          <w:spacing w:val="-4"/>
          <w:sz w:val="20"/>
          <w:shd w:fill="FFFFFF" w:val="clear"/>
        </w:rPr>
        <w:t>SUBJECT TO COMPLETION, DATED OCTOBER 6,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$250,000,000</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280" w:after="283"/>
        <w:jc w:val="center"/>
        <w:rPr>
          <w:caps w:val="false"/>
          <w:smallCaps w:val="false"/>
          <w:color w:val="000000"/>
          <w:shd w:fill="FFFFFF" w:val="clear"/>
        </w:rPr>
      </w:pPr>
      <w:r>
        <w:rPr>
          <w:caps w:val="false"/>
          <w:smallCaps w:val="false"/>
          <w:color w:val="000000"/>
          <w:shd w:fill="FFFFFF" w:val="clear"/>
        </w:rPr>
        <w:drawing>
          <wp:inline distT="0" distB="0" distL="0" distR="0">
            <wp:extent cx="1971675" cy="5810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971675" cy="5810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Non-Voting 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Preferred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Depositary Shares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Units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time to time, Midland States Bancorp, Inc. may offer and sell any of the securities described in this prospectus, either individually or in combination with other securities, with an aggregate public offering price of up to $250,000,000. </w:t>
      </w:r>
    </w:p>
    <w:p>
      <w:pPr>
        <w:pStyle w:val="TextBody"/>
        <w:bidi w:val="0"/>
        <w:spacing w:lineRule="atLeast" w:line="240" w:before="16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describes certain terms of these securities and the manner in which we will offer them. Each time that we offer and sell securities using this prospectus, we will provide a supplement to this prospectus that contains additional information about the terms of these securities and the manner in which they will be offered for sale. Any prospectus supplement also may add or update information contained in this prospectus. Before you invest, you should carefully read this prospectus and any prospectus supplement, as well as any documents that are incorporated by reference. </w:t>
      </w:r>
    </w:p>
    <w:p>
      <w:pPr>
        <w:pStyle w:val="TextBody"/>
        <w:bidi w:val="0"/>
        <w:spacing w:lineRule="atLeast" w:line="240" w:before="16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offer and sell these securities through underwriters, brokers, dealers or agents, or directly to purchasers on a continuous or delayed basis. We will provide the names of any such underwriters and, if known, brokers or dealers that are used in connection with any such sale, as well as any fees, commissions or discounts we may pay to such underwriters in connection with such sale, in the applicable prospectus supplement. </w:t>
      </w:r>
    </w:p>
    <w:p>
      <w:pPr>
        <w:pStyle w:val="TextBody"/>
        <w:bidi w:val="0"/>
        <w:spacing w:lineRule="atLeast" w:line="240" w:before="16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Nasdaq Global Select Market under the symbol “MSBI”. On October 5, 2026, the last reported sale price of our common stock was $33.00. We have not yet determined whether any of the other securities that may be offered pursuant to this prospectus will be listed on any exchange. If we decide to do so, a prospectus supplement relating to such securities will identify the exchange or market on which they will be listed. </w:t>
      </w:r>
    </w:p>
    <w:p>
      <w:pPr>
        <w:pStyle w:val="TextBody"/>
        <w:bidi w:val="0"/>
        <w:spacing w:lineRule="atLeast" w:line="240" w:before="16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securities are not bank deposits and are not insured by the Federal Deposit Insurance Corporation or any other governmental agency, nor are they obligations of, or guaranteed by, a bank. This prospectus is not an offer to sell these securities, and it is not soliciting an offer to buy these securities, in any state or jurisdiction where the offer or sale is not permitted. </w:t>
      </w:r>
    </w:p>
    <w:p>
      <w:pPr>
        <w:pStyle w:val="TextBody"/>
        <w:bidi w:val="0"/>
        <w:spacing w:lineRule="atLeast" w:line="240" w:before="160" w:after="283"/>
        <w:ind w:left="1793" w:right="40" w:firstLine="400"/>
        <w:jc w:val="left"/>
        <w:rPr/>
      </w:pPr>
      <w:r>
        <w:rPr>
          <w:rFonts w:ascii="Times New Roman;Times;serif" w:hAnsi="Times New Roman;Times;serif"/>
          <w:b/>
          <w:i w:val="false"/>
          <w:caps w:val="false"/>
          <w:smallCaps w:val="false"/>
          <w:color w:val="000000"/>
          <w:spacing w:val="-4"/>
          <w:sz w:val="20"/>
          <w:shd w:fill="FFFFFF" w:val="clear"/>
        </w:rPr>
        <w:t>Investing in our securities involves risks. You should refer to the section heading “</w:t>
      </w:r>
      <w:r>
        <w:rPr>
          <w:rFonts w:ascii="Times New Roman;Times;serif" w:hAnsi="Times New Roman;Times;serif"/>
          <w:b/>
          <w:i/>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on page </w:t>
      </w:r>
      <w:hyperlink w:anchor="tRIFA">
        <w:r>
          <w:rPr>
            <w:rStyle w:val="InternetLink"/>
          </w:rPr>
          <w:t>1</w:t>
        </w:r>
      </w:hyperlink>
      <w:r>
        <w:rPr>
          <w:rFonts w:ascii="Times New Roman;Times;serif" w:hAnsi="Times New Roman;Times;serif"/>
          <w:b/>
          <w:i w:val="false"/>
          <w:caps w:val="false"/>
          <w:smallCaps w:val="false"/>
          <w:color w:val="000000"/>
          <w:spacing w:val="-4"/>
          <w:sz w:val="20"/>
          <w:shd w:fill="FFFFFF" w:val="clear"/>
        </w:rPr>
        <w:t xml:space="preserve"> of this prospectus, as well as the risk factors included in any applicable prospectus supplement and certain of our periodic reports and other information that we file with the Securities and Exchange Commission, and carefully consider that information before buying our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79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34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prospectus is dated           , 2026.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3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tbl>
      <w:tblPr>
        <w:tblW w:w="7031" w:type="dxa"/>
        <w:jc w:val="left"/>
        <w:tblInd w:w="1433" w:type="dxa"/>
        <w:tblLayout w:type="fixed"/>
        <w:tblCellMar>
          <w:top w:w="0" w:type="dxa"/>
          <w:left w:w="0" w:type="dxa"/>
          <w:bottom w:w="0" w:type="dxa"/>
          <w:right w:w="0" w:type="dxa"/>
        </w:tblCellMar>
      </w:tblPr>
      <w:tblGrid>
        <w:gridCol w:w="124"/>
        <w:gridCol w:w="5798"/>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98"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NRF">
              <w:r>
                <w:rPr>
                  <w:rStyle w:val="InternetLink"/>
                  <w:spacing w:val="4"/>
                </w:rPr>
                <w:t>ii</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MSBI">
              <w:r>
                <w:rPr>
                  <w:rStyle w:val="InternetLink"/>
                  <w:spacing w:val="4"/>
                </w:rPr>
                <w:t xml:space="preserve">Midland States Bancorp,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MSBI">
              <w:r>
                <w:rPr>
                  <w:rStyle w:val="InternetLink"/>
                  <w:spacing w:val="4"/>
                </w:rPr>
                <w:t>1</w:t>
              </w:r>
            </w:hyperlink>
            <w:hyperlink w:anchor="tMSB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98"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1</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1</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98" w:type="dxa"/>
            <w:tcBorders/>
            <w:vAlign w:val="center"/>
          </w:tcPr>
          <w:p>
            <w:pPr>
              <w:pStyle w:val="TableContents"/>
              <w:bidi w:val="0"/>
              <w:spacing w:before="0" w:after="0"/>
              <w:jc w:val="left"/>
              <w:rPr/>
            </w:pPr>
            <w:hyperlink w:anchor="tDOS">
              <w:r>
                <w:rPr>
                  <w:rStyle w:val="InternetLink"/>
                  <w:spacing w:val="4"/>
                </w:rPr>
                <w:t xml:space="preserve">Description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
              <w:r>
                <w:rPr>
                  <w:rStyle w:val="InternetLink"/>
                  <w:spacing w:val="4"/>
                </w:rPr>
                <w:t>2</w:t>
              </w:r>
            </w:hyperlink>
            <w:hyperlink w:anchor="tD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2</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98"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
              <w:r>
                <w:rPr>
                  <w:rStyle w:val="InternetLink"/>
                  <w:spacing w:val="4"/>
                </w:rPr>
                <w:t>17</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26</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98" w:type="dxa"/>
            <w:tcBorders/>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U">
              <w:r>
                <w:rPr>
                  <w:rStyle w:val="InternetLink"/>
                  <w:spacing w:val="4"/>
                </w:rPr>
                <w:t>26</w:t>
              </w:r>
            </w:hyperlink>
            <w:hyperlink w:anchor="t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27</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98"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27</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28</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798"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28</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798" w:type="dxa"/>
            <w:tcBorders/>
            <w:shd w:fill="CCEEFF" w:val="cle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OCI">
              <w:r>
                <w:rPr>
                  <w:rStyle w:val="InternetLink"/>
                  <w:spacing w:val="4"/>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ATP"/>
      <w:bookmarkEnd w:id="3"/>
      <w:r>
        <w:rPr>
          <w:rFonts w:ascii="calibri;arial;sans-serif" w:hAnsi="calibri;arial;sans-serif"/>
          <w:b w:val="false"/>
          <w:i w:val="false"/>
          <w:caps w:val="false"/>
          <w:smallCaps w:val="false"/>
          <w:sz w:val="18"/>
          <w:shd w:fill="E5E4E2" w:val="clear"/>
        </w:rPr>
        <w:t>​</w:t>
      </w:r>
      <w:bookmarkStart w:id="4" w:name="tCNRF"/>
      <w:bookmarkEnd w:id="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that we filed with the Securities and Exchange Commission (the “SEC”), utilizing a “shelf” registration process. Under this shelf process, we may offer and sell any of the securities described in this prospectus, either individually or in combination with other securities. This prospectus describes certain terms of these securities and the manner in which we will offer them. Each time that we offer and sell securities using this prospectus, we will provide a supplement to this prospectus that contains additional information about the terms of these securities and the manner in which they will be offered for sale. Any prospectus supplement also may add or update information contained in this prospectus. If there is any inconsistency between the information in this prospectus and any applicable prospectus supplement, you should rely on the information in the prospectus supplement. You should read this prospectus (including the documents incorporated by reference) and any prospectus supplement together with the additional information described under the heading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rely only on the information contained or incorporated by reference in this prospectus or in any supplement to this prospectus. We have not authorized anyone to provide you with different information. We are not making an offer to sell or soliciting an offer to buy these securities in any jurisdiction in which the offer or solicitation is not authorized or in which the person making the offer or solicitation is not qualified to do so or to anyone to whom it is unlawful to make the offer or solicitation. You should assume that the information contained or incorporated by reference in this prospectus or any prospectus supplement is accurate as of its date only.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of the securities described in this prospectus and in a prospectus supplement may be convertible or exchangeable into, or exercisable for, other securities that are described in this prospectus or will be described in a prospectus supplement, and may be issued separately, together or as part of a unit consisting of two or more securities, which may or may not be separate from one another. The securities offered hereby may include new or hybrid securities developed in the future that combine features of any of the securities described in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registration statement that contains this prospectus, including the exhibits to the registration statement, also contains additional information about us and the securities offered under this prospectus. You can find the registration statement at the SEC’s website mentioned under the heading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NOTE REGARDING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“forward-looking statements” within the meaning of Section 27A of the Securities Act of 1933, as amended, and Section 21E of the Securities Exchange Act of 1934, as amended. The Company intends such forward-looking statements to be covered by the safe harbor provisions of the U.S. Private Securities Litigation Reform Act of 1995. Forward-looking statements include, without limitation, statements concerning plans, estimates, calculations, forecasts and projections with respect to the anticipated future performance of the Company.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Examples of forward-looking statements include, among others, statements we make regarding our projected growth, anticipated future financial performance, financial condition, credit quality, management’s long-term performance goals, and the future plans and prospects of the Company.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Forward-looking statements are neither historical facts nor assurances of future performance. Instead, they are based only on our current beliefs, expectations and assumptions regarding our business, future plans and strategies, projections, anticipated events and trends, the economy and other future conditions. Because forward-looking statements relate to the future, they are subject to inherent known and unknown uncertainties, risks, changes in circumstances and other factors that are difficult to predict and many of which are outside of our control. Our actual results and financial condition may differ materially from those indicated in forward-looking statements. Therefore, you should not rely on any of these forward-looking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statements. Important factors that could cause our actual results and financial condition to differ materially from those indicated in forward-looking statements include, among others, the following: </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business, economic and political conditions, particularly those affecting the financial services industry and our primary market areas; </w:t>
      </w:r>
      <w:r>
        <mc:AlternateContent>
          <mc:Choice Requires="wps">
            <w:drawing>
              <wp:anchor behindDoc="0" distT="8001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interest rates, including on our net interest income and the value of our securities portfolio as well as monetary and fiscal policies of the U.S. government, including policies of the Treasury and the Federal Reserve; </w:t>
      </w:r>
      <w:r>
        <mc:AlternateContent>
          <mc:Choice Requires="wps">
            <w:drawing>
              <wp:anchor behindDoc="0" distT="8001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 of federal trade policy, inflation, deposit volatility and potential regulatory developments; </w:t>
      </w:r>
      <w:r>
        <mc:AlternateContent>
          <mc:Choice Requires="wps">
            <w:drawing>
              <wp:anchor behindDoc="0" distT="8001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factors that can impact the performance of our loan portfolio, including real estate values and liquidity in our primary market areas, the financial health of our commercial borrowers and the success of construction projects that we finance; </w:t>
      </w:r>
      <w:r>
        <mc:AlternateContent>
          <mc:Choice Requires="wps">
            <w:drawing>
              <wp:anchor behindDoc="0" distT="8001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successfully manage our credit risk and the sufficiency of our allowance for credit losses on loans; </w:t>
      </w:r>
      <w:r>
        <mc:AlternateContent>
          <mc:Choice Requires="wps">
            <w:drawing>
              <wp:anchor behindDoc="0" distT="8001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risks from concentrations by type of borrower, geographic area, collateral and industry within our loan portfolio, including commercial real estate loans, and from large loans to certain borrowers; </w:t>
      </w:r>
      <w:r>
        <mc:AlternateContent>
          <mc:Choice Requires="wps">
            <w:drawing>
              <wp:anchor behindDoc="0" distT="8001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quality and composition of our loan and investment portfolios and the valuation of our investment portfolio; </w:t>
      </w:r>
      <w:r>
        <mc:AlternateContent>
          <mc:Choice Requires="wps">
            <w:drawing>
              <wp:anchor behindDoc="0" distT="8001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failure of assumptions and estimates underlying the establishment of our allowances for credit losses on loans, and estimation of values of collateral and various financial assets and liabilities; </w:t>
      </w:r>
      <w:r>
        <mc:AlternateContent>
          <mc:Choice Requires="wps">
            <w:drawing>
              <wp:anchor behindDoc="0" distT="8001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compliance with governmental and regulatory requirements, particularly those relating to banking, consumer protection, securities and tax matters, and our ability to maintain licenses required in connection with commercial mortgage servicing operations; </w:t>
      </w:r>
      <w:r>
        <mc:AlternateContent>
          <mc:Choice Requires="wps">
            <w:drawing>
              <wp:anchor behindDoc="0" distT="8001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legislative and regulatory changes, including changes in banking, consumer protection, securities, trade and tax laws and regulations and their application by our regulators; </w:t>
      </w:r>
      <w:r>
        <mc:AlternateContent>
          <mc:Choice Requires="wps">
            <w:drawing>
              <wp:anchor behindDoc="0" distT="8001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effects on the U.S. economy resulting from the implementation of policies proposed by the presidential administration, including tariffs, deportations and changes in banking regulation; </w:t>
      </w:r>
      <w:r>
        <mc:AlternateContent>
          <mc:Choice Requires="wps">
            <w:drawing>
              <wp:anchor behindDoc="0" distT="8001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the financial markets; </w:t>
      </w:r>
      <w:r>
        <mc:AlternateContent>
          <mc:Choice Requires="wps">
            <w:drawing>
              <wp:anchor behindDoc="0" distT="8001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armed conflict, including the scope and duration of disruptions in global energy markets relating to war in the Middle East;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dependence upon third parties for certain information system, data management and processing services, and to provide key components of our business infrastructure;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identify and address cyber-security risks, fraud and systems errors;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the business environment resulting from the adoption of artificial intelligence, including fraud and cybersecurity risk;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operational risks, including with respect to fraud and information technology;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ability to effectively execute our strategic plan and manage our growth;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demand for loan products and deposit flows;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business plans as circumstances warrant;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competition from a wide variety of local, regional, national and other providers of financial, investment and insurance services, including FinTech companies and private credit funds, and demand for financial services in our market areas;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risks related to legal proceedings;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accounting principles, policies and guidelines;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64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liquidity issues, including fluctuations in the fair value and liquidity of the securities we hold for sale and our ability to raise additional capital, if necessary;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our senior management team and our ability to attract, motivate and retain qualified personnel;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risks related to potential acquisitions, including our ability to receive required regulatory approvals, exposure to potential asset and credit quality risks and unknown or contingent liabilities, the time and costs of integrating systems, procedures and personnel, the need for capital to finance such transactions, and possible failures in realizing the anticipated benefits from acquisitions;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to U.S. and state tax laws, regulations and guidance;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effects of severe weather, natural disasters, acts of war or terrorism, widespread disease or pandemics, and other external events;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factors and risks identified in the “Risk Factors” sections of the reports filed by the Company with the Securities and Exchange Commission and in the “Risk Factors” sections of this prospectus and the applicable prospectus supplement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foregoing factors should not be construed as exhaustive and should be read together with the other cautionary statements included in this prospectus. Because of these risks and other uncertainties, our actual future results, performance or achievement, or industry results, may be materially different from the results indicated by the forward looking statements in this prospectus. In addition, our past results of operations are not necessarily indicative of our future results. You should not rely on any forward looking statements, which represent our beliefs, assumptions and estimates only as of the dates on which they were made, as predictions of future events. Any forward-looking statement speaks only as of the date on which it is made, and we do not undertake any obligation to update or review any forward-looking statement, whether as a result of new information, future developments or otherwise.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iv</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5" w:name="tMSBI"/>
      <w:bookmarkEnd w:id="5"/>
      <w:r>
        <w:rPr>
          <w:rFonts w:ascii="calibri;arial;sans-serif" w:hAnsi="calibri;arial;sans-serif"/>
          <w:b w:val="false"/>
          <w:i w:val="false"/>
          <w:caps w:val="false"/>
          <w:smallCaps w:val="false"/>
          <w:sz w:val="18"/>
          <w:shd w:fill="E5E4E2" w:val="clear"/>
        </w:rPr>
        <w:t>​</w:t>
      </w:r>
      <w:bookmarkStart w:id="6" w:name="tRIFA"/>
      <w:bookmarkEnd w:id="6"/>
      <w:r>
        <w:rPr>
          <w:rFonts w:ascii="calibri;arial;sans-serif" w:hAnsi="calibri;arial;sans-serif"/>
          <w:b w:val="false"/>
          <w:i w:val="false"/>
          <w:caps w:val="false"/>
          <w:smallCaps w:val="false"/>
          <w:sz w:val="18"/>
          <w:shd w:fill="E5E4E2" w:val="clear"/>
        </w:rPr>
        <w:t>​</w:t>
      </w:r>
      <w:bookmarkStart w:id="7" w:name="tUOP"/>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4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MIDLAND STATES BANCORP,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Midland States Bancorp, Inc. (the “Company,” “we,” “our,” or “us”), an Illinois corporation formed in 1988, is a diversified financial holding company headquartered in Effingham, Illinois. Our banking subsidiary, Midland States Bank (the “Bank”), an Illinois state-chartered bank formed in 1881, has branches across Illinois and in Missouri, and provides a full range of commercial and consumer banking products and services, merchant credit card services, trust and investment management, insurance and financial planning services. As of June 30, 2026, the Company had total assets of $6.70 billion, and our wealth management group had assets under administration of approximately $4.78 billion.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strategic plan focuses on delivering a superior customer experience through a high-tech, high-touch approach, while remaining committed to core community banking and relationship-driven growth. We continue to enhance our regional franchise approach that serves our core customers with a consistent, high-performance culture rooted in our One Midland values and with a strong foundation in Enterprise Risk Management.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principal executive offices are located at 1201 Network Centre Drive, Effingham, Illinois 62401, and our telephone number at that address is (217) 342-7321.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 information about us is included in our filings with the SEC, which are incorporated by reference into this prospectus. See “Where You Can Find More Information” and “Incorporation of Certain Information by Reference” in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investment in our securities involves certain risks. Before making an investment decision, you should carefully read and consider the risk factors incorporated by reference in this prospectus, as the same may be updated from time to time by our future filings with the SEC, as well as those contained in any applicable prospectus supplement. Our business, financial condition or results of operations could be materially adversely affected by any of these risks. The trading price of our securities could decline due to any of these risks, and you may lose all or part of your investment. This prospectus and documents incorporated by reference in this prospectus also contain forward-looking statements that involve risks and uncertainties. Our actual results could differ materially from those anticipated in these forward-looking statements as a result of certain factors, including the risks faced by 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Unless the applicable prospectus supplement states otherwise, we will use the net proceeds we receive from the sale of any securities offered by us for general corporate purposes, which may include, among other things, investments in or advances to our subsidiaries, working capital, capital expenditures, stock repurchases, debt repayment or the financing of possible acquisitions. The applicable prospectus supplement relating to a particular offering of securities by us will identify the particular use of proceeds for that offering. Until we use the net proceeds from an offering, we may place the net proceeds in temporary investments or hold the net proceeds in deposit accounts at one of our banking subsidiaries.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tDOS"/>
      <w:bookmarkEnd w:id="8"/>
      <w:r>
        <w:rPr>
          <w:rFonts w:ascii="calibri;arial;sans-serif" w:hAnsi="calibri;arial;sans-serif"/>
          <w:b w:val="false"/>
          <w:i w:val="false"/>
          <w:caps w:val="false"/>
          <w:smallCaps w:val="false"/>
          <w:sz w:val="18"/>
          <w:shd w:fill="E5E4E2" w:val="clear"/>
        </w:rPr>
        <w:t>​</w:t>
      </w:r>
      <w:bookmarkStart w:id="9" w:name="tDOCS"/>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summary descriptions of the common stock, preferred stock, depositary shares, debt securities, warrants and units that we may offer and sell from time to time. When one or more of these securities are offered in the future pursuant to a prospectus supplement, the prospectus supplement will explain the particular terms of the securities and the extent to which these general provisions may apply. These summary descriptions and any summary descriptions in any applicable prospectus supplement do not purport to be complete descriptions of the terms and conditions of each security and are qualified in their entirety by reference to our articles of incorporation, our bylaws, Illinois law and any other documents referenced in such summary descriptions and from which such summary descriptions are derived. If any particular terms of a security described in the applicable prospectus supplement differ from any of the terms described in this prospectus, then the terms described in this prospectus will be deemed superseded by the terms set forth in that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and sell securities in book-entry form through one or more depositaries, such as The Depository Trust Company, named in the applicable prospectus supplement. Each sale of a security in book-entry form will settle in immediately available funds through the applicable depositary, unless otherwise stated. We will issue or sell the securities in registered form, without coupons, although we may issue the securities in bearer form if so specified in the applicable prospectus supplement. If any securities offered by us are to be listed or quoted on a securities exchange or quotation system, the applicable prospectus supplement will say so. The shares of our common stock that may be offered by us are listed on the Nasdaq Global Select Market.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is a summary of the material terms, limitations, voting powers and relative rights of our capital stock as contained in our articles of incorporation, which is incorporated by reference herein. This summary does not purport to be a complete description of the terms and conditions of our capital stock in all respects and is subject to and qualified in its entirety by reference to our articles of incorporation, our bylaws, Illinois law and any other documents referenced in the summary descriptions and from which the summary descriptions are derived. Although we believe this summary covers the material terms and provisions of our capital stock set forth in our articles of incorporation, it may not contain all of the information that is important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Authorized Shares of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as amended, authorize the issuance of up to 35,000,000 shares of common stock, par value $0.01 per share, up to 5,000,000 shares of non-voting common stock, par value $0.01 per share, and up to 4,000,000 shares of preferred stock, par value $2.00 per share. At June 30, 2026, we had issued and outstanding 20,725,814 shares of our common stock (which includes 20,725,814 shares of common stock that are issuable upon the vesting of restricted stock awards outstanding as of such date), no shares of non-voting common stock and 115,000 shares of our Series A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Governing Documents.</w:t>
      </w:r>
      <w:r>
        <w:rPr>
          <w:rFonts w:ascii="Times New Roman;Times;serif" w:hAnsi="Times New Roman;Times;serif"/>
          <w:b w:val="false"/>
          <w:i w:val="false"/>
          <w:caps w:val="false"/>
          <w:smallCaps w:val="false"/>
          <w:color w:val="000000"/>
          <w:spacing w:val="4"/>
          <w:sz w:val="20"/>
          <w:shd w:fill="FFFFFF" w:val="clear"/>
        </w:rPr>
        <w:t xml:space="preserve">   The holders of shares of our common stock have the rights set forth in our articles of incorporation, as amended, our bylaws and Illinois law.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Dividends and Distributions.</w:t>
      </w:r>
      <w:r>
        <w:rPr>
          <w:rFonts w:ascii="Times New Roman;Times;serif" w:hAnsi="Times New Roman;Times;serif"/>
          <w:b w:val="false"/>
          <w:i w:val="false"/>
          <w:caps w:val="false"/>
          <w:smallCaps w:val="false"/>
          <w:color w:val="000000"/>
          <w:spacing w:val="4"/>
          <w:sz w:val="20"/>
          <w:shd w:fill="FFFFFF" w:val="clear"/>
        </w:rPr>
        <w:t xml:space="preserve">   The holders of our common stock are entitled to share equally in any dividends that our board of directors may declare from time to time out of funds legally available for dividends, subject to limitations under Illinois law and any preferential rights of holders of our then outstanding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Ranking.</w:t>
      </w:r>
      <w:r>
        <w:rPr>
          <w:rFonts w:ascii="Times New Roman;Times;serif" w:hAnsi="Times New Roman;Times;serif"/>
          <w:b w:val="false"/>
          <w:i w:val="false"/>
          <w:caps w:val="false"/>
          <w:smallCaps w:val="false"/>
          <w:color w:val="000000"/>
          <w:spacing w:val="4"/>
          <w:sz w:val="20"/>
          <w:shd w:fill="FFFFFF" w:val="clear"/>
        </w:rPr>
        <w:t xml:space="preserve">   Our common stock ranks junior with respect to dividend rights and rights upon liquidation, dissolution or winding up of our company to all of our other securities and indebtedness.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any voluntary or involuntary liquidation, dissolution or winding up of our company, the holders of our common stock are entitled to share equally, on a per share basis, in all of our assets available for distribution, after payment to creditors and subject to any prior distribution rights granted to holders of any then outstanding shares of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Conversion Rights.</w:t>
      </w:r>
      <w:r>
        <w:rPr>
          <w:rFonts w:ascii="Times New Roman;Times;serif" w:hAnsi="Times New Roman;Times;serif"/>
          <w:b w:val="false"/>
          <w:i w:val="false"/>
          <w:caps w:val="false"/>
          <w:smallCaps w:val="false"/>
          <w:color w:val="000000"/>
          <w:spacing w:val="4"/>
          <w:sz w:val="20"/>
          <w:shd w:fill="FFFFFF" w:val="clear"/>
        </w:rPr>
        <w:t xml:space="preserve">   Our common stock is not convertible into any other shares of our capital stock.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Preemptive Rights.</w:t>
      </w:r>
      <w:r>
        <w:rPr>
          <w:rFonts w:ascii="Times New Roman;Times;serif" w:hAnsi="Times New Roman;Times;serif"/>
          <w:b w:val="false"/>
          <w:i w:val="false"/>
          <w:caps w:val="false"/>
          <w:smallCaps w:val="false"/>
          <w:color w:val="000000"/>
          <w:spacing w:val="4"/>
          <w:sz w:val="20"/>
          <w:shd w:fill="FFFFFF" w:val="clear"/>
        </w:rPr>
        <w:t xml:space="preserve">   The holders of our common stock do not have any preemptive rights.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Voting Rights.</w:t>
      </w:r>
      <w:r>
        <w:rPr>
          <w:rFonts w:ascii="Times New Roman;Times;serif" w:hAnsi="Times New Roman;Times;serif"/>
          <w:b w:val="false"/>
          <w:i w:val="false"/>
          <w:caps w:val="false"/>
          <w:smallCaps w:val="false"/>
          <w:color w:val="000000"/>
          <w:spacing w:val="4"/>
          <w:sz w:val="20"/>
          <w:shd w:fill="FFFFFF" w:val="clear"/>
        </w:rPr>
        <w:t xml:space="preserve">   The holders of our common stock are entitled to one vote per share on any matter to be voted on by the shareholders. The holders of our common stock are not entitled to cumulative voting rights with respect to the election of directors. A plurality of the shares voted shall elect all of the directors then standing for election at a meeting of shareholders at which a quorum is present.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board of directors is divided into three classes of directors, each serving a staggered three-year term. Class II directors hold office for a term expiring at the annual meeting of shareholders to be held in 2027, Class III directors hold office for a term expiring at the annual meeting of shareholders to be held in 2028 and Class I directors hold office for a term expiring at the annual meeting of shareholders to be held in 2029. At each annual meeting, the successors to the class of directors whose terms expire at that meeting will be elected for a term of office to expire at the third succeeding annual meeting after their election and until their successors have been duly elected and qualified.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Redemption.</w:t>
      </w:r>
      <w:r>
        <w:rPr>
          <w:rFonts w:ascii="Times New Roman;Times;serif" w:hAnsi="Times New Roman;Times;serif"/>
          <w:b w:val="false"/>
          <w:i w:val="false"/>
          <w:caps w:val="false"/>
          <w:smallCaps w:val="false"/>
          <w:color w:val="000000"/>
          <w:spacing w:val="4"/>
          <w:sz w:val="20"/>
          <w:shd w:fill="FFFFFF" w:val="clear"/>
        </w:rPr>
        <w:t xml:space="preserve">   We have no obligation or right to redeem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Non-Voting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our non-voting common stock are entitled to all rights and privileges afforded to holders of our common stock as described above under “— Common Stock,” except the holders of our non-voting common stock are not entitled to vote on any matter to be voted on by the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authorization of our board of directors, we may issue shares of one or more series of our preferred stock from time to time. Our board of directors may, without any action by holders of common stock and except as may be otherwise provided in the terms of any series of preferred stock of which there are shares outstanding, adopt resolutions to designate and establish a new series of preferred stock. Upon establishing such a series of preferred stock, the board will determine the number of shares of preferred stock of that series that may be issued and the rights and preferences of that series of preferred stock. The rights of any series of preferred stock may include, among others: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general or special voting rights;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preferential liquidation rights;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preferential cumulative or noncumulative dividend rights;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redemption or put rights; and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conversion or exchange rights.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shares of, or warrants to purchase shares of, one or more series of our preferred stock that have been designated from time to time, the terms of which might: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adversely affect voting or other rights evidenced by, or amounts otherwise payable with respect to, the common stock or other series of preferred stock;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discourage an unsolicited proposal to acquire us; or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facilitate a particular business combination involving us.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of these actions could have an anti-takeover effect and discourage a transaction that some or a majority of our shareholders might believe to be in their best interests or in which our shareholders might receive a premium for their stock over our then market price.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Series A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Series A Statement of Resolution sets forth the terms of our Series A Preferred Stock. The Series A Statement of Resolution initially authorizes 115,000 shares of Series A Preferred Stock. We may, without notice to or the consent of holders of the Series A Preferred Stock, issue additional shares of Series A Preferred Stock from time to time.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Series A Preferred Stock do not have preemptive or subscription rights to acquire more of our stock. The Series A Preferred Stock is not convertible into or exchangeable for our common stock or any other class or series of our capital stock or other securities. The Series A Preferred Stock does not have a stated maturity date, is not subject to any sinking fund or any other obligation of us for its repurchase, redemption, or retirement, and is perpetual unless redeemed at our option.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Ranking.   </w:t>
      </w:r>
      <w:r>
        <w:rPr>
          <w:rFonts w:ascii="Times New Roman;Times;serif" w:hAnsi="Times New Roman;Times;serif"/>
          <w:b w:val="false"/>
          <w:i w:val="false"/>
          <w:caps w:val="false"/>
          <w:smallCaps w:val="false"/>
          <w:color w:val="000000"/>
          <w:spacing w:val="4"/>
          <w:sz w:val="20"/>
          <w:shd w:fill="FFFFFF" w:val="clear"/>
        </w:rPr>
        <w:t xml:space="preserve">Shares of the Series A Preferred Stock rank, with respect to the payment of dividends and distributions upon our liquidation, dissolution, or winding-up: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to our common stock and to any class or series of our capital stock we may issue that is not expressly stated to be on parity with or senior to the Series A Preferred Stock; </w:t>
      </w:r>
      <w:r>
        <mc:AlternateContent>
          <mc:Choice Requires="wps">
            <w:drawing>
              <wp:anchor behindDoc="0" distT="7747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parity with, or equally to, any class or series of our capital stock expressly stated to be on parity with the Series A Preferred Stock, including the Series A Preferred Stock; and </w:t>
      </w:r>
      <w:r>
        <mc:AlternateContent>
          <mc:Choice Requires="wps">
            <w:drawing>
              <wp:anchor behindDoc="0" distT="7747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junior to any class or series of our capital stock expressly stated to be senior to the Series A Preferred Stock (issued with the requisite consent of the holders of at least two-thirds of the outstanding Series A Preferred Stock). </w:t>
      </w:r>
      <w:r>
        <mc:AlternateContent>
          <mc:Choice Requires="wps">
            <w:drawing>
              <wp:anchor behindDoc="0" distT="7747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Dividends</w:t>
      </w:r>
      <w:r>
        <w:rPr>
          <w:rFonts w:ascii="Times New Roman;Times;serif" w:hAnsi="Times New Roman;Times;serif"/>
          <w:b w:val="false"/>
          <w:i w:val="false"/>
          <w:caps w:val="false"/>
          <w:smallCaps w:val="false"/>
          <w:color w:val="000000"/>
          <w:spacing w:val="4"/>
          <w:sz w:val="20"/>
          <w:shd w:fill="FFFFFF" w:val="clear"/>
        </w:rPr>
        <w:t xml:space="preserve">.   Dividends on shares of the Series A Preferred Stock are discretionary, not mandatory, and will not be cumulative. Holders of the Series A Preferred Stock will be entitled to receive, if, when, and as declared by our board of directors or a duly authorized committee of our board of directors, out of legally available assets, non-cumulative cash dividends quarterly in arrears on March 30, June 30, September 30 and December 30 of each year, beginning on December 30, 2022 (each such date being referred to herein as a “dividend payment date”) based on the liquidation preference of $1,000 per share (equivalent to $25 per depositary share) at a rate equal to: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the date of original issue to, but excluding, September 30, 2027 (such date being referred to herein as the “First Reset Date”), a fixed rate per annum of 7.750%; and </w:t>
      </w:r>
      <w:r>
        <mc:AlternateContent>
          <mc:Choice Requires="wps">
            <w:drawing>
              <wp:anchor behindDoc="0" distT="774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and including, the First Reset Date, during each reset period, a rate per annum equal to the five-year treasury rate as of the most recent reset date (as described below), plus 4.713% on the liquidation preference of $1,000 per share.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that we issue additional shares of Series A Preferred Stock after the original issue date, dividends on such shares may accrue from the original issue date or any other date we specify at the time such additional shares are issued. References to the “accrual” of dividends in this summary refer only to the determination of the amount of such dividend and do not imply that any right to a dividend arises prior to the date on which a dividend is declared. We will not pay interest or any sum of money instead of interest on any dividend payment that may be in arrears on the Series A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will be payable to holders of record of Series A Preferred Stock as they appear on our books on the applicable record date (each such date being referred to herein as a “dividend record date”), which shall be the 15th calendar day before the dividend payment date or such other record date fixed by our board of directors or a duly authorized committee of our board of directors that is not less than 10 calendar days or more than 30 calendar days before the applicable dividend payment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dividend period is the period from and including a dividend payment date to, but excluding, the next dividend payment date or any earlier redemption date, except that the initial dividend period commences on and includes the original issue date of the Series A Preferred Stock and ends on and excludes the first dividend payment date. Any dividend payable on shares of the Series A Preferred Stock for any dividend period will be computed on the basis of a 360-day year consisting of twelve 30-day months. Dollar amounts resulting from that calculation will be rounded to the nearest cent, with one-half cent being rounded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upward. If any dividend payment date is not a business day, then the related payment of dividends will be made on the next succeeding business day, and no additional dividends will accrue on such payment.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“business day” means any day, other than a Saturday or Sunday, that is neither a legal holiday nor a day on which banking institutions are authorized or required by law or regulation to close in the State of Illinois. Dividends on shares of the Series A Preferred Stock will not be cumulative. Accordingly, if our board of directors or a duly authorized committee of our board of directors does not declare a full dividend on the Series A Preferred Stock payable in respect of any dividend period before the related dividend payment date, such dividend will not accrue and we will have no obligation to pay a dividend for that dividend period on the dividend payment date or at any future time, whether or not dividends on the Series A Preferred Stock are declared for any future dividend period.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“reset date” means the First Reset Date and each date falling on the fifth anniversary of the preceding reset date. Reset dates, including the First Reset Date, will not be adjusted for business days. A “reset period” means the period from, and including, the First Reset Date to, but excluding, the next following reset date and thereafter each period from, and including, each reset date to, but excluding, the next following reset date. A “reset dividend determination date” means, in respect of any reset period, the day falling three business days prior to the beginning of such reset period.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any reset period commencing on or after the First Reset Date, the five-year treasury rate will be the average of the yields on actively traded U.S. treasury securities adjusted to constant maturity, for five-year maturities, for the five business days immediately preceding the reset dividend determination date for that reset period, appearing under the caption “Treasury Constant Maturities” in the most recently published statistical release designated H.15 Daily Update or any successor publication which is published by the Federal Reserve as of 5:00 p.m. (Eastern Time) as of any reset determination date, as determined by the calculation agent in its sole discretion; provided that if no such calculation can be determined as described above, then: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calculation agent determines that the treasury rate has not been discontinued, then the calculation agent will use for such reset period a substitute base rate that it has determined is most comparable to the treasury rate; or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calculation agent determines that the treasury rate has been discontinued, then the calculation agent will use for such reset period and each successive reset period a substitute or successor base rate that it has determined is most comparable to the treasury rate; provided that, if the calculation agent determines there is an industry-accepted successor base rate to the treasury rate, then the calculation agent shall use such successor base rate.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calculation agent has determined a substitute or successor base rate in accordance with the second bullet point immediately above but no calculation with respect to such substitute or successor base rate can be determined as of any subsequent reset dividend determination date, then a new substitute or successor base rate shall be determined as set forth in the first or second bullet point immediately above, as applicable, as if the previously-determined substitute or successor base rate was the treasury rate. If the calculation agent has determined a substitute or successor base rate, then the calculation agent will apply any technical, administrative or operational changes that we determine (including changes to the definitions of “dividend period”, “reset period”, “reset date” and “reset dividend determination date”, timing and frequency of determining rates with respect to each reset period and making payments of dividends, rounding of amounts or tenors, and other administrative matters) for calculating such substitute or successor base rate in a manner that is consistent with market practice for such substitute or successor base rate, including any adjustment factor needed to make such substitute or successor base rate comparable to the treasury rate; provided that, if we decide that adoption of any portion of such market practice is not administratively feasible or if we determine that no market practice for use of the substitute or successor base rate exists, the calculation agent will apply any such changes for calculating such substitute or successor base rate in such other manner as we determine is reasonably necessary.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five-year treasury rate will be determined by the calculation agent on the third business day immediately preceding the applicable reset date. If the five-year treasury rate for any dividend period cannot be determined pursuant to the methods described in the two bullet points above, the dividend rate for such dividend period will be the same as the dividend rate determined for the immediately preceding dividend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period. Dividends on the Series A Preferred Stock will cease to accrue on the redemption date, if any, as described below under “— Redemption,” unless we default in the payment of the redemption price of the shares of the Series A Preferred Stock called for 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Dividends on the Series A Preferred Stock will cease to accrue on the redemption date, if any, as described below under “— Redemption,” unless we default in the payment of the redemption price of the shares of the Series A Preferred Stock called for 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not obligated to and will not pay holders of the Series A Preferred Stock any interest or sum of money in lieu of interest on any divided not paid on a divided payment date. We are also not obligated to and will not pay holders of the Series A Preferred Stock any dividend in excess of the dividends on the Series A Preferred Stock that are payable as described above.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subject to statutory and regulatory prohibitions and other limitations on our ability to declare and pay dividends on the Series A Preferred Stock. Dividends on the Series A Preferred Stock will not be declared, paid, or set aside for payment if we fail to comply, or if and to the extent such act would cause us to fail to comply, with applicable laws and regulations. In particular, dividends on the Series A Preferred Stock may not be declared or set aside for payment if and to the extent such dividends would cause us to fail to comply with the capital adequacy rules of the Federal Reserve (or, as and if applicable, the capital adequacy rules or regulations of any successor appropriate federal banking agency) applicable to 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Priority of Dividends</w:t>
      </w:r>
      <w:r>
        <w:rPr>
          <w:rFonts w:ascii="Times New Roman;Times;serif" w:hAnsi="Times New Roman;Times;serif"/>
          <w:b w:val="false"/>
          <w:i w:val="false"/>
          <w:caps w:val="false"/>
          <w:smallCaps w:val="false"/>
          <w:color w:val="000000"/>
          <w:spacing w:val="4"/>
          <w:sz w:val="20"/>
          <w:shd w:fill="FFFFFF" w:val="clear"/>
        </w:rPr>
        <w:t xml:space="preserve">.   The Series A Preferred Stock will rank junior as to payment of dividends to any class or series of our preferred stock that we may issue in the future that is expressly stated to be senior to the Series A Preferred Stock. If at any time we do not pay, on the applicable dividend payment date, accrued dividends on any shares that rank in priority to the Series A Preferred Stock with respect to dividends, we may not pay any dividends on the Series A Preferred Stock or repurchase, redeem, or otherwise acquire for consideration any shares of Series A Preferred Stock until we have paid, or set aside for payment, the full amount of the unpaid dividends on the shares that rank in priority with respect to dividends that must, under the terms of such shares, be paid before we may pay dividends on, repurchase, redeem, or otherwise acquire for consideration, the Series A Preferred Stock. As of the date hereof, there are no other shares of preferred stock issued and outstanding.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any share of Series A Preferred Stock remains outstanding, unless the full dividends for the most recently completed dividend period have been declared and paid, or set aside for payment, on all outstanding shares of Series A Preferred Stock: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dividend or distribution shall be declared, paid, or set aside for payment on any junior stock (other than (i) a dividend payable solely in junior stock in the form of stock, warrants, options or other rights where the dividend stock or the stock issuable upon exercise of such warrants, options, or other rights is the same stock as that on which the dividend is being paid or ranks equal or junior to that stock or is other junior stock or (ii) a dividend in connection with the implementation of a shareholders’ rights plan, or the issuance of rights, stock, or other property under any such plan, or the redemption or repurchase of any rights under any such plan);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junior stock shall be repurchased, redeemed, or otherwise acquired for consideration by us, directly or indirectly (other than (i) as a result of a reclassification of junior stock for or into other junior stock, (ii) the exchange or conversion of shares of junior stock for or into other shares of junior stock, (iii) through the use of the proceeds of a substantially contemporaneous sale of other shares of junior stock, (iv) purchases, redemptions, or other acquisitions of shares of the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most recently completed dividend period, including under a contractually binding stock repurchase plan, (vi) the purchase of fractional interests in shares of junior stock pursuant to the conversion or exchange provisions of such stock or the security being converted or exchanged), or (vii) the acquisition by us or any of our subsidiaries of record ownership in junior stock for the beneficial ownership of any other persons, including as trustees or custodians, nor shall any monies be paid to or made available for a sinking fund for the redemption of any such securities; and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parity stock shall be repurchased, redeemed, or otherwise acquired for consideration by us, directly or indirectly (other than (i) pursuant to pro rata offers to purchase all, or a pro rata portion, of the Series A Preferred Stock and any parity stock, (ii) as a result of a reclassification of any parity stock for or into other parity stock, (iii) the exchange or conversion of any parity stock for or into other parity stock or junior stock, (iv) through the use of the proceeds of a substantially contemporaneous sale of other shares of parity stock, (v) purchases of shares of parity stock pursuant to a contractually binding requirement to buy parity stock existing prior to the most recently completed dividend period, including under a contractually binding stock repurchase plan, (vi) the purchase of fractional interests in shares of parity stock pursuant to the conversion or exchange provisions of such stock or the security being converted or exchanged), (vii) the acquisition by us or any of our subsidiaries of record ownership in junior stock for the beneficial ownership of any other persons, including as trustees or custodians, nor shall any monies be paid to or made available for a sinking fund for the redemption of any such securities. </w:t>
      </w:r>
      <w:r>
        <mc:AlternateContent>
          <mc:Choice Requires="wps">
            <w:drawing>
              <wp:anchor behindDoc="0" distT="0" distB="0" distL="254000" distR="0" simplePos="0" locked="0" layoutInCell="1" allowOverlap="1" relativeHeight="56">
                <wp:simplePos x="0" y="0"/>
                <wp:positionH relativeFrom="column">
                  <wp:align>left</wp:align>
                </wp:positionH>
                <wp:positionV relativeFrom="line">
                  <wp:posOffset>635</wp:posOffset>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foregoing, if dividends are not paid in full, or set aside for payment in full, on any dividend payment date upon the shares of the Series A Preferred Stock and any shares of parity stock, all dividends declared upon the Series A Preferred Stock and all such parity stock payable on such dividend payment date shall be declared pro rata in proportion to the respective amounts of undeclared and unpaid dividends on the Series A Preferred Stock and all parity stock payable on such dividend payment date. To the extent a dividend period with respect to any parity stock coincides with more than one dividend period with respect to the Series A Preferred Stock for purposes of the immediately preceding sentence, our board of directors will treat such dividend period as two or more consecutive dividend periods, none of which coincides with more than one dividend period with respect to the Series A Preferred Stock, or shall treat such dividend period(s) with respect to any parity stock and dividend period(s) with respect to the Series A Preferred Stock for purposes of the immediately preceding sentence in any other manner that it deems to be fair and equitable in order to achieve ratable payments on such dividend parity stock and the Series A Preferred Stock. To the extent a dividend period with respect to the Series A Preferred Stock coincides with more than one dividend period with respect to any parity stock, for purposes of the first sentence of this paragraph, the board of directors shall treat such dividend period as two or more consecutive dividend periods, none of which coincides with more than one dividend period with respect to such parity stock, or shall treat such dividend period(s) with respect to the Series A Preferred Stock and dividend period(s) with respect to any parity stock for purposes of the first sentence of this paragraph in any other manner that it deems to be fair and equitable in order to achieve ratable payments of dividends on the Series A Preferred Stock and such parity stock. For the purposes of this paragraph, the term “dividend period” as used with respect to any parity stock means such dividend periods as are provided for in the terms of such parity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in this summary, “junior stock” means our common stock and any other class or series of our capital stock over which the Series A Preferred Stock has preference or priority in the payment of dividends and in the distribution of assets on any liquidation, dissolution, or winding-up of us. Junior stock includes our common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in this summary, “parity stock” means any other class or series of our capital stock that ranks equally with the Series A Preferred Stock in the payment of dividends and in the distribution of assets on any liquidation, dissolution, or winding-up of us, including the Series A Preferred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foregoing, dividends (payable in cash, stock, or otherwise) may be declared and paid on our junior stock, which includes our common stock, from time to time out of any assets legally available for such payment, and the holders of Series A Preferred Stock or parity stock shall not be entitled to participate in any such dividend.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Redemption</w:t>
      </w:r>
      <w:r>
        <w:rPr>
          <w:rFonts w:ascii="Times New Roman;Times;serif" w:hAnsi="Times New Roman;Times;serif"/>
          <w:b w:val="false"/>
          <w:i w:val="false"/>
          <w:caps w:val="false"/>
          <w:smallCaps w:val="false"/>
          <w:color w:val="000000"/>
          <w:spacing w:val="4"/>
          <w:sz w:val="20"/>
          <w:shd w:fill="FFFFFF" w:val="clear"/>
        </w:rPr>
        <w:t xml:space="preserve">.   The Series A Preferred Stock is perpetual and has no maturity date and is not subject to any mandatory redemption, sinking fund, or other similar provisions. Except for the redemption upon the occurrence of a “regulatory capital treatment event” as further described below, the shares of Series A Preferred Stock are not redeemable prior to the First Reset Date. The holders of the Series A Preferred Stock will not have any right to require the redemption or repurchase of their shares of Series A Preferred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at our option, redeem the Series A Preferred Stock (i) in whole or in part, from time to time, on any dividend payment date on or after September 30, 2027, or (ii) in whole but not in part at any time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within 90 days following a “regulatory capital treatment event,” in each case at a redemption price equal to $1,000 per share (equivalent to $25 per depositary share), plus the per share amount of any declared and unpaid dividends, without accumulation of any undeclared dividends, on the Series A Preferred Stock to, but excluding, the date fixed for redemption (the “redemption date”). Any declared but unpaid dividends payable on a redemption date that occurs subsequent to the applicable dividend record date will not be paid to the holder entitled to receive the redemption price on the redemption date, but rather will be paid to the holder of record of the redeemed shares on such record date relating to the applicable dividend payment date. Investors should not expect us to redeem the Series A Preferred Stock on or after the date it becomes redeemable at our option.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a bank holding company regulated by the Federal Reserve. We intend to treat the Series A Preferred Stock as “Additional Tier 1” capital (or its equivalent) for purposes of the capital adequacy rules of the Federal Reserve (or, as and if applicable, the capital adequacy rules or regulations of any successor appropriate federal banking agency) applicable to 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“regulatory capital treatment event” means the good faith determination by us that, as a result of any: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amendment to, clarification of, or change in, the laws, rules, or regulations of the United States or any political subdivision of or in the United States (including, for the avoidance of doubt, any agency or instrumentality of the United States, including the Federal Reserve and other appropriate federal bank regulatory agencies) that is enacted or becomes effective after the initial issuance of any share of the Series A Preferred Stock;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proposed change in those laws, rules, or regulations that is announced after the initial issuance of any share of the Series A Preferred Stock; or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official administrative decision or judicial decision or administrative action or other official pronouncement interpreting or applying those laws, rules, or regulations or policies with respect thereto that is announced or becomes effective after the initial issuance of any share of the Series A Preferred Stock;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more than an insubstantial risk that we will not be entitled to treat the full liquidation preference amount of $1,000 per share of the Series A Preferred Stock then outstanding as additional Tier 1 capital (or its equivalent) for purposes of the capital adequacy rules or regulations of the Federal Reserve (or, as and if applicable, the capital adequacy rules or regulations of any successor appropriate federal banking agency) as then in effect and applicable, for as long as any share of Series A Preferred Stock is outstanding. “Appropriate federal banking agency” means the “appropriate federal banking agency” with respect to us as that term is defined in Section 3(q) of the Federal Deposit Insurance Act or any successor provision.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regulations currently applicable to us, we may not exercise our option to redeem any shares of preferred stock without obtaining the prior approval of the Federal Reserve (or any successor appropriate federal banking agency). Under such regulations, unless the Federal Reserve (or any successor appropriate federal banking agency) authorizes us to do otherwise in writing, we may not redeem the Series A Preferred Stock unless it is replaced with other Tier 1 capital instruments or unless we can demonstrate to the satisfaction of the Federal Reserve (or any successor appropriate federal banking agency) that, following redemption, we will continue to hold capital commensurate with its risk.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shares of the Series A Preferred Stock are to be redeemed, the notice of redemption shall be given to the holders of record of the Series A Preferred Stock to be redeemed, by first class mail, postage prepaid, addressed to the holders of record of such shares to be redeemed at their respective last addresses appearing on our stock register not less than 30 days nor more than 60 days prior to the date fixed for redemption thereof (provided that, if the shares of Series A Preferred Stock are held in book-entry form through The Depository Trust Company (“DTC”) we may give such notice in any manner permitted by DTC). Each notice of redemption will include a statement setting forth: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redemption date;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shares of the Series A Preferred Stock to be redeemed and, if less than all of the shares held by such holder are to be redeemed, the number of such shares to be redeemed from such holder;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redemption price; </w:t>
      </w:r>
      <w:r>
        <mc:AlternateContent>
          <mc:Choice Requires="wps">
            <w:drawing>
              <wp:anchor behindDoc="0" distT="7239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or places where certificates for such shares are to be surrendered for payment of the redemption price; and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dividends on the shares to be redeemed will cease to accrue on the redemption date.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notice of redemption of any shares of Series A Preferred Stock has been duly given and if the funds necessary for such redemption have been set aside by us for the benefit of the holders of any shares of Series A Preferred Stock so called for redemption, then, on and after the redemption date, dividends will cease to accrue on such shares of Series A Preferred Stock, such shares of Series A Preferred Stock shall no longer be deemed outstanding, and all rights of the holders of such shares will terminate, except the right to receive the redemption price, without interest.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case of any redemption of only part of the shares of the Series A Preferred Stock at the time outstanding, the shares to be redeemed shall be selected pro rata, by lot, or in such other manner as we may determine to be equitable and permitted by DTC and the rules of any national securities exchange on which the Series A Preferred Stock is listed.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Liquidation Rights</w:t>
      </w:r>
      <w:r>
        <w:rPr>
          <w:rFonts w:ascii="Times New Roman;Times;serif" w:hAnsi="Times New Roman;Times;serif"/>
          <w:b w:val="false"/>
          <w:i w:val="false"/>
          <w:caps w:val="false"/>
          <w:smallCaps w:val="false"/>
          <w:color w:val="000000"/>
          <w:spacing w:val="4"/>
          <w:sz w:val="20"/>
          <w:shd w:fill="FFFFFF" w:val="clear"/>
        </w:rPr>
        <w:t xml:space="preserve">.   In the event that we voluntarily or involuntarily liquidate, dissolve, or wind up our affairs, holders of the Series A Preferred Stock are entitled to receive out of our assets available for distribution to shareholders, after satisfaction of liabilities and obligations to creditors, if any, and subject to the rights of holders of any shares of capital stock then outstanding ranking senior to or on parity with the Series A Preferred Stock with respect to distributions upon the voluntary or involuntary liquidation, dissolution, or winding-up of our business and affairs, including the Series A Preferred Stock, and before we make any distribution or payment out of our assets to the holders of our common stock or any other class or series of our capital stock ranking junior to the Series A Preferred Stock with respect to distributions upon our liquidation, dissolution, or winding-up, an amount per share equal to the liquidation preference of $1,000 per share plus any declared and unpaid dividends prior to the payment of the liquidating distribution (but without any amount in respect of dividends that have not been declared prior to the date of payment of the liquidating distribution). After payment of the full amount of the liquidating distribution described above, the holders of the Series A Preferred Stock shall not be entitled to any further participation in any distribution of our assets.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any such distribution, if our assets are not sufficient to pay the liquidation preference in full to all holders of Series A Preferred Stock and all holders of any shares of our capital stock ranking as to any such liquidating distribution on parity with the Series A Preferred Stock, including the Series A Preferred Stock, the amounts paid to the holders of Series A Preferred Stock and to such other shares will be paid pro rata in accordance with the respective aggregate liquidation preferences of those holders. In any such distribution, the “liquidation preference” of any holder of preferred stock means the amount otherwise payable to such holder in such distribution (assuming no limitation on our assets available for such distribution), including any declared but unpaid dividends (and, in the case of any holder of stock other than the Series A Preferred Stock and on which dividends accrue on a cumulative basis, an amount equal to any unpaid, accrued, cumulative dividends, whether or not declared, as applicable). If the liquidation preference per share of Series A Preferred Stock has been paid in full to all holders of Series A Preferred Stock and the liquidation preference per share of any other capital stock ranking on parity with the Series A Preferred Stock as to liquidation rights has been paid in full, the holders of our common stock or any other capital stock ranking, as to liquidation rights, junior to the Series A Preferred Stock will be entitled to receive all of our remaining assets according to their respective rights and preferences.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the sale, conveyance, exchange, or transfer of all or substantially all of our assets or business, nor the consolidation or merger by us with or into any other entity or by another entity with or into us, whether for cash, securities, or other property, individually or as part of a series of transactions, will constitute a liquidation, dissolution, or winding-up of our affairs.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Because we are a holding company, our rights and the rights of our creditors and our shareholders, including the holders of the Series A Preferred Stock, to participate in any distribution of assets of any of our subsidiaries upon that subsidiary’s liquidation, dissolution, reorganization or winding-up or otherwise would be subject to the prior claims of that subsidiary’s creditors, except to the extent that we are a creditor with recognized claims against the subsidiary.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the Series A Preferred Stock are subordinate to all of our indebtedness and to other non-equity claims on us and our assets, including in the event that we enter into a receivership, insolvency, liquidation or similar proceeding. The Series A Preferred Stock may be fully subordinate to interests held by the U.S. government in the event we enter into a receivership, insolvency, liquidation, or similar proceeding, including a proceeding under the “orderly liquidation authority” provisions of the Dodd-Frank Wall Street Reform and Consumer Protection Act of 2010.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Voting Rights</w:t>
      </w:r>
      <w:r>
        <w:rPr>
          <w:rFonts w:ascii="Times New Roman;Times;serif" w:hAnsi="Times New Roman;Times;serif"/>
          <w:b w:val="false"/>
          <w:i w:val="false"/>
          <w:caps w:val="false"/>
          <w:smallCaps w:val="false"/>
          <w:color w:val="000000"/>
          <w:spacing w:val="4"/>
          <w:sz w:val="20"/>
          <w:shd w:fill="FFFFFF" w:val="clear"/>
        </w:rPr>
        <w:t xml:space="preserve">.   Except as provided below and as determined by our board of directors or a duly authorized committee of our board of directors or as otherwise expressly required by law, the holders of the Series A Preferred Stock will have no voting rights.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Whenever dividends on any shares of the Series A Preferred Stock, or any parity stock upon which similar voting rights have been conferred (“voting preferred stock”), shall have not been declared and paid in an aggregate amount equal to the amount of dividends payable on the Series A Preferred Stock as contemplated herein for the equivalent of six or more quarterly dividend periods, whether or not consecutive (which we refer to as a “nonpayment”), the holders of the Series A Preferred Stock, voting together as a class with holders of any voting preferred stock then outstanding, will be entitled to vote (based on respective liquidation preferences) for the election of a total of two additional members of our board of directors (which we refer to as the “preferred directors”); provided that our board of directors shall at no time include more than two preferred directors; provided, further, that the election of any such preferred directors may not cause us to violate any corporate governance requirement of The Nasdaq Stock Market LLC (or any other exchange on which our securities may be listed). In that event, the number of directors on our board of directors shall automatically increase by two and, at the request of any holder of Series A Preferred Stock, a special meeting of the holders of Series A Preferred Stock and such voting preferred stock, including the Series A Preferred Stock, for which dividends have not been paid shall be called for the election of the two preferred directors (unless such request is received less than 90 days before the date fixed for the next annual or special meeting of shareholders, in which event such election shall be held at such next annual or special meeting of shareholders), followed by such election at each subsequent annual meeting at which the term of a preferred director would conclude. If, as of the date of election of any preferred director, the Company’s board of directors shall then be divided into two or more classes, then the preferred director shall be elected as a member of such class as may be selected by the Company’s secretary.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voting rights will continue until the date on which full dividends have been paid (or declared and a sum sufficient for the payment of such dividends has been set aside for payment) on the Series A Preferred Stock and such voting preferred stock for four consecutive dividend periods following the nonpayment.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and when full dividends have been paid (or declared and a sum sufficient for the payment of such dividends has been set aside for payment) for at least four consecutive dividend periods following a nonpayment on the Series A Preferred Stock (which we refer to as a “nonpayment remedy”), the holders of the Series A Preferred Stock and such voting preferred stock shall immediately and, without any further action by the Company, be divested of the foregoing voting rights (subject to the revesting of such voting rights in the event of each subsequent nonpayment). If such voting rights for the holders of Preferred Stock and all other holders of voting preferred stock have terminated, the term of office of each designated director so elected will immediately terminate and the number of directors on our board of directors shall automatically decrease by two.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preferred director may be removed at any time without cause by the holders of a majority of the outstanding shares of the Series A Preferred Stock and such voting preferred stock, voting together as a class, when they have the voting rights described above. In the event that a nonpayment occurs and there has not been a subsequent nonpayment remedy, any vacancy in the office of a preferred director (other than prior to the initial election of the preferred directors) may be filled by a qualified nominee with the written consent of the preferred director remaining in office, or if none remains in office, by a qualified nominee or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nominees upon the vote of the holders of a majority of the outstanding shares of Series A Preferred Stock and such voting preferred stock, voting together as a class, in each case to serve until the next annual meeting of shareholders or, if the Company’s board of directors shall then be divided into two or more classes, for the term of a class of directors selected by the Company’s secretary; provided that the filling of any such vacancy may not cause us to violate any corporate governance requirement of The Nasdaq Stock Market LLC (or any other exchange on which our securities may be listed). The preferred directors shall each be entitled to one vote per director on any matter on which our directors are entitled to vote.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regulations adopted by the Federal Reserve, if the holders of one or more series of preferred stock are or become entitled to vote for the election of directors, such series entitled to vote for the same director(s) will be deemed a class of voting securities and a company holding 25% or more of the series, or 10% or more if it otherwise exercises a “controlling influence” over us, will be subject to regulation as a bank holding company under the Bank Holding Company Act of 1956, as amended (the “BHC Act”). In addition, if the series is/are deemed to be a class of voting securities, any other bank holding company will be required to obtain the prior approval of the Federal Reserve under the BHC Act to acquire or retain more than 5% of that series. Any other person (other than a bank holding company) will be required to obtain the non-objection of the Federal Reserve under the Change in Bank Control Act of 1978, as amended, to acquire or retain 10% or more of that series. While we do not believe the shares of Series A Preferred Stock are considered “voting securities” currently, holders of such stock should consult their own counsel with regard to regulatory implications. A holder or group of holders may also be deemed to control us if they own one-third or more of our total equity.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any shares of Series A Preferred Stock remain outstanding, in addition to any other vote or consent of shareholders required by law or our articles of incorporation, as amended, the affirmative vote or consent of the holders of at least two-thirds of all of the then-outstanding shares of Series A Preferred Stock entitled to vote thereon, voting separately as a single class, shall be required to: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amend or alter our articles of incorporation, as amended, to authorize or create or increase the authorized amount of any class or series of our capital stock ranking senior to the Series A Preferred Stock with respect to payment of dividends or as to distributions upon our liquidation, dissolution, or winding-up, or issue any obligation or security convertible into or exchangeable for, or evidencing the right to purchase, any such class or series of our capital stock; </w:t>
      </w:r>
      <w:r>
        <mc:AlternateContent>
          <mc:Choice Requires="wps">
            <w:drawing>
              <wp:anchor behindDoc="0" distT="787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amend, alter, or repeal the provisions of our articles of incorporation, as amended, including the statement of resolution, so as to materially and adversely affect the special powers, preferences, privileges, or rights of the Series A Preferred Stock, taken as a whole; provided, however, that any amendment to authorize, create or issue, or increase the authorized amount of, any junior stock or parity stock, or any securities convertible into junior stock or parity stock will not be deemed to materially and adversely affect the powers, privileges, or rights of the Series A Preferred Stock; or </w:t>
      </w:r>
      <w:r>
        <mc:AlternateContent>
          <mc:Choice Requires="wps">
            <w:drawing>
              <wp:anchor behindDoc="0" distT="7874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consummate a binding share exchange or reclassification involving the Series A Preferred Stock, or complete the sale, conveyance, exchange, or transfer of all or substantially all of our assets or business or consolidate with or merge into any other corporation, unless, in each case, the shares of the Series A Preferred Stock (i) remain outstanding or, in the case of any such merger or consolidation with respect to which the Company is not the surviving or resulting entity, are converted into or exchanged for preference securities of the surviving or resulting entity or its ultimate parent, or (ii) are converted into or exchanged for preference securities of the surviving entity or any entity controlling such surviving entity and such new preference securities have powers, preferences, privileges, and rights that are not materially less favorable to the holders thereof than the powers, preferences, privileges, and rights of the Series A Preferred Stock, taken as a whole. </w:t>
      </w:r>
      <w:r>
        <mc:AlternateContent>
          <mc:Choice Requires="wps">
            <w:drawing>
              <wp:anchor behindDoc="0" distT="787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determining the application of the voting rights described in this section, the authorization, creation, and issuance, or an increase in the authorized or issued amount, of junior stock or any class or series of capital stock that by its terms expressly provides that it ranks on parity with the Series A Preferred Stock with respect to the payment of dividends (whether such dividends are cumulative or non-cumulative) and as to distributions upon our liquidation, dissolution, or winding-up, or any securities convertible into or exchangeable or exercisable for junior stock or any class or series of capital stock, shall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 be deemed to materially and adversely affect the special powers, preferences, privileges, or rights, and shall not require the affirmative vote or consent of, the holders of any outstanding shares of Series A Preferred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set aside by us for the benefit of the holders of the Series A Preferred Stock to effect such redemption.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Depositary, Transfer Agent, and Registrar</w:t>
      </w:r>
      <w:r>
        <w:rPr>
          <w:rFonts w:ascii="Times New Roman;Times;serif" w:hAnsi="Times New Roman;Times;serif"/>
          <w:b w:val="false"/>
          <w:i w:val="false"/>
          <w:caps w:val="false"/>
          <w:smallCaps w:val="false"/>
          <w:color w:val="000000"/>
          <w:spacing w:val="4"/>
          <w:sz w:val="20"/>
          <w:shd w:fill="FFFFFF" w:val="clear"/>
        </w:rPr>
        <w:t xml:space="preserve">.   Computershare Inc. and Computershare Trust Company, N.A. will serve jointly as depositary for the depositary shares, and as registrar for the Series A Preferred Stock and the depositary shares. Computershare Trust Company, N.A. will serve as transfer agent for the Series A Preferred Stock and the depositary shares. We may, in our sole discretion, remove the depositary, transfer agent, and registrar in accordance with the agreement between us and the depositary, transfer agent, or registrar, respectively; provided that we will appoint a successor who will accept such appointment prior to the effectiveness of its removal.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Calculation Agent</w:t>
      </w:r>
      <w:r>
        <w:rPr>
          <w:rFonts w:ascii="Times New Roman;Times;serif" w:hAnsi="Times New Roman;Times;serif"/>
          <w:b w:val="false"/>
          <w:i w:val="false"/>
          <w:caps w:val="false"/>
          <w:smallCaps w:val="false"/>
          <w:color w:val="000000"/>
          <w:spacing w:val="4"/>
          <w:sz w:val="20"/>
          <w:shd w:fill="FFFFFF" w:val="clear"/>
        </w:rPr>
        <w:t xml:space="preserve">.   The Company’s affiliate, Midland States Bank, will be the calculation agent for the Series A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Depositary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General.   </w:t>
      </w:r>
      <w:r>
        <w:rPr>
          <w:rFonts w:ascii="Times New Roman;Times;serif" w:hAnsi="Times New Roman;Times;serif"/>
          <w:b w:val="false"/>
          <w:i w:val="false"/>
          <w:caps w:val="false"/>
          <w:smallCaps w:val="false"/>
          <w:color w:val="000000"/>
          <w:spacing w:val="4"/>
          <w:sz w:val="20"/>
          <w:shd w:fill="FFFFFF" w:val="clear"/>
        </w:rPr>
        <w:t xml:space="preserve">We may elect to issue fractional shares of preferred stock rather than full shares of preferred stock. If so, we will issue “depositary receipts” for these “depositary shares.” Each depositary share will represent a fraction of a share of a particular series of preferred stock. If we issue depositary shares pursuant to these projections in the future, the applicable prospectus supplement will describe the terms of the depository shares and the underlying preferred stock to which the depositary shares relate.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description in the prospectus supplement will not necessarily be complete, and reference will be made to the deposit agreement relating to the depositary shares which will be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Series A Depositary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General.   </w:t>
      </w:r>
      <w:r>
        <w:rPr>
          <w:rFonts w:ascii="Times New Roman;Times;serif" w:hAnsi="Times New Roman;Times;serif"/>
          <w:b w:val="false"/>
          <w:i w:val="false"/>
          <w:caps w:val="false"/>
          <w:smallCaps w:val="false"/>
          <w:color w:val="000000"/>
          <w:spacing w:val="4"/>
          <w:sz w:val="20"/>
          <w:shd w:fill="FFFFFF" w:val="clear"/>
        </w:rPr>
        <w:t xml:space="preserve">We have issued 4,600,000 depositary shares that represent proportional fractional interests in shares of the Series A Preferred Stock (which we refer to as “Series A depositary shares”). Each Series A depositary share represents a 1/40th interest in a share of the Series A Preferred Stock and the Series A depositary shares are evidenced by depositary receipts. We have deposited the underlying shares of Series A Preferred Stock with a depositary pursuant to a deposit agreement among us, Computershare, Inc. and Computershare Trust Company, N.A., acting jointly as depositary, and the holders from time to time of the depositary receipts. Subject to the terms of the deposit agreement, the Series A depositary shares are entitled to all of the powers, preferences, and special rights of the Series A Preferred Stock, as applicable, in proportion to the applicable fraction of a share of Series A Preferred Stock those Series A depositary shares represent.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this summary, references to “holders” of Series A depositary shares mean those who own Series A depositary shares registered in their own names on the books that we or the depositary maintains for this purpose. DTC (or its designated nominee) is the only registered holder of the depositary receipts representing the Series A depositary shares. References to “holders” of Series A depositary shares do not include indirect holders who own beneficial interests in Series A depositary shares registered in street name or issued in book-entry form through DTC.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Dividends and Other Distributions</w:t>
      </w:r>
      <w:r>
        <w:rPr>
          <w:rFonts w:ascii="Times New Roman;Times;serif" w:hAnsi="Times New Roman;Times;serif"/>
          <w:b w:val="false"/>
          <w:i w:val="false"/>
          <w:caps w:val="false"/>
          <w:smallCaps w:val="false"/>
          <w:color w:val="000000"/>
          <w:spacing w:val="4"/>
          <w:sz w:val="20"/>
          <w:shd w:fill="FFFFFF" w:val="clear"/>
        </w:rPr>
        <w:t xml:space="preserve">.   Each dividend payable on a Series A depositary share will be in an amount equal to 1/40th of the dividend declared and payable on each share of Series A Preferred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depositary will distribute all dividends and other cash distributions received on the Series A Preferred Stock to the holders of record of the depositary receipts in proportion to the number of Series A depositary shares held by each holder. If we make a distribution other than in cash, the depositary will distribute property received by it to the holders of record of the depositary receipts in proportion to the number of Series A depositary shares held by each holder, unless the depositary determines that this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 is not feasible, in which case the depositary may, with our approval, adopt a method of distribution that it deems practicable, including the sale of the property and distribution of the net proceeds of that sale to the holders of the depositary receipts.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calculation of a dividend or other cash distribution results in an amount that is a fraction of a cent and that fraction is equal to or greater than $0.005, the depositary will round that amount up to the next highest whole cent and will request that we pay the resulting additional amount to the depositary for the relevant dividend or other cash distribution. If the fractional amount is less than $0.005, the depositary will disregard that fractional amount and it will be added to and be treated as part of the next succeeding distribution.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Record dates for the payment of dividends and other matters relating to the Series A depositary shares will be the same as the corresponding record dates for the Series A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paid as dividends or otherwise distributable by the depositary with respect to the Series A depositary shares or the underlying Series A Preferred Stock will be reduced by any amounts required to be withheld by us or the depositary on account of taxes or other governmental charges. The depositary may refuse to make any payment or distribution, or any transfer, exchange, or withdrawal of any Series A depositary shares or the shares of the Series A Preferred Stock, until such taxes or other governmental charges are paid.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Liquidation Preference</w:t>
      </w:r>
      <w:r>
        <w:rPr>
          <w:rFonts w:ascii="Times New Roman;Times;serif" w:hAnsi="Times New Roman;Times;serif"/>
          <w:b w:val="false"/>
          <w:i w:val="false"/>
          <w:caps w:val="false"/>
          <w:smallCaps w:val="false"/>
          <w:color w:val="000000"/>
          <w:spacing w:val="4"/>
          <w:sz w:val="20"/>
          <w:shd w:fill="FFFFFF" w:val="clear"/>
        </w:rPr>
        <w:t xml:space="preserve">.   In the event of our liquidation, dissolution, or winding-up, a holder of Series A depositary shares will receive the fraction of the liquidation preference accorded each share of underlying Series A Preferred Stock represented by the Series A depositary shares.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the sale, conveyance, exchange, or transfer of all or substantially all of our assets or business, nor the consolidation or merger by us with or into any other entity or by another entity with or into us, whether for cash, securities, or other property, individually or as part of a series of transactions, will constitute a liquidation, dissolution, or winding-up of our affairs.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Redemption of Series A Depositary Shares</w:t>
      </w:r>
      <w:r>
        <w:rPr>
          <w:rFonts w:ascii="Times New Roman;Times;serif" w:hAnsi="Times New Roman;Times;serif"/>
          <w:b w:val="false"/>
          <w:i w:val="false"/>
          <w:caps w:val="false"/>
          <w:smallCaps w:val="false"/>
          <w:color w:val="000000"/>
          <w:spacing w:val="4"/>
          <w:sz w:val="20"/>
          <w:shd w:fill="FFFFFF" w:val="clear"/>
        </w:rPr>
        <w:t xml:space="preserve">.   If we redeem the Series A Preferred Stock, in whole or in part, as described above under “Preferred Stock — Series A Preferred Stock — Redemption,” Series A depositary shares also will be redeemed with the proceeds received by the depositary from the redemption of the Series A Preferred Stock held by the depositary. The redemption price per Series A depositary share will be 1/40th of the redemption price per share payable with respect to the Series A Preferred Stock (or $25 per Series A depositary share), plus 1/40th of the per share amount of any declared and unpaid dividends, without accumulation of any undeclared dividends, on the Series A Preferred Stock to, but excluding, the redemption date.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redeem shares of the Series A Preferred Stock held by the depositary, the depositary will redeem, as of the same redemption date, the number of Series A depositary shares representing those shares of the Series A Preferred Stock so redeemed. If we redeem less than all of the outstanding Series A depositary shares, the Series A depositary shares to be redeemed will be selected either pro rata or by lot or in such other manner as we may determine to be equitable and permitted by DTC and the rules of any national securities exchange on which the Series A Preferred Stock is listed.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depositary will provide notice of redemption to record holders of the depositary receipts not less than 30 days and not more than 60 days prior to the date fixed for redemption of the Series A Preferred Stock and the related Series A depositary shares.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depositary will not be required (a) to issue, transfer or exchange any depositary receipts for a period beginning at the opening of business 15 days next preceding any selection of Series A depositary shares and Series A Preferred Stock to be redeemed and ending at the close of business on the day of the sending of notice of redemption, or (b) to transfer or exchange for another depositary receipt any depositary receipt representing Series A depositary shares called or being called for redemption in whole or in part except as for certain limited circumstances described in the deposit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Voting</w:t>
      </w:r>
      <w:r>
        <w:rPr>
          <w:rFonts w:ascii="Times New Roman;Times;serif" w:hAnsi="Times New Roman;Times;serif"/>
          <w:b w:val="false"/>
          <w:i w:val="false"/>
          <w:caps w:val="false"/>
          <w:smallCaps w:val="false"/>
          <w:color w:val="000000"/>
          <w:spacing w:val="4"/>
          <w:sz w:val="20"/>
          <w:shd w:fill="FFFFFF" w:val="clear"/>
        </w:rPr>
        <w:t xml:space="preserve">.   Because each Series A depositary share represents a 1/40th ownership interest in a share of Series A Preferred Stock, holders of depositary receipts will be entitled to vote 1/40th of a vote per Series A depositary share under those limited circumstances in which holders of the Series A Preferred Stock are entitled to vote, as described above in “Preferred Stock — Series A Preferred Stock — Voting Rights.”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the depositary receives notice of any meeting at which the holders of the Series A Preferred Stock are entitled to vote, the depositary will, if requested in writing and provided with all necessary information, provide the information contained in the notice to the record holders of the Series A depositary shares relating to the Series A Preferred Stock. Each record holder of the Series A depositary shares on the record date, which will be the same date as the record date for the Series A Preferred Stock, may instruct the depositary to vote the amount of the Series A Preferred Stock represented by the holder’s Series A depositary shares. To the extent possible, the depositary will vote or cause to be voted the amount of the Series A Preferred Stock represented by Series A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Series A depositary shares representing the Series A Preferred Stock, it will abstain from voting with respect to such shares (but may, at its discretion, appear at the meeting with respect to such shares unless directed to the contrary).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Depositary, Transfer Agent, and Registrar</w:t>
      </w:r>
      <w:r>
        <w:rPr>
          <w:rFonts w:ascii="Times New Roman;Times;serif" w:hAnsi="Times New Roman;Times;serif"/>
          <w:b w:val="false"/>
          <w:i w:val="false"/>
          <w:caps w:val="false"/>
          <w:smallCaps w:val="false"/>
          <w:color w:val="000000"/>
          <w:spacing w:val="4"/>
          <w:sz w:val="20"/>
          <w:shd w:fill="FFFFFF" w:val="clear"/>
        </w:rPr>
        <w:t xml:space="preserve">.   Computershare Inc. and Computershare Trust Company, N.A. will serve jointly as depositary for the Series A depositary shares, and as registrar for the Series A Preferred Stock and the Series A depositary shares. Computershare Trust Company, N.A. will serve as transfer agent for the Series A Preferred Stock and the Series A depositary shares. We may remove the depositary, transfer agent, and registrar in accordance with the agreement between us and the depositary, transfer agent, or registrar, respectively; provided that we will appoint a successor who will accept such appointment prior to the effectiveness of its removal.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 of depositary receipt evidencing the Series A depositary shares and any provision of the deposit agreement may be amended by agreement between us and the depositary. However, any amendment that materially and adversely alters the rights of the existing holders of depositary receipts will not be effective unless the amendment has been approved by the record holders representing in the aggregate at least a majority of the Series A depositary shares then outstanding.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Form of Series A Preferred Stock and Series A Depositary Shares</w:t>
      </w:r>
      <w:r>
        <w:rPr>
          <w:rFonts w:ascii="Times New Roman;Times;serif" w:hAnsi="Times New Roman;Times;serif"/>
          <w:b w:val="false"/>
          <w:i w:val="false"/>
          <w:caps w:val="false"/>
          <w:smallCaps w:val="false"/>
          <w:color w:val="000000"/>
          <w:spacing w:val="4"/>
          <w:sz w:val="20"/>
          <w:shd w:fill="FFFFFF" w:val="clear"/>
        </w:rPr>
        <w:t xml:space="preserve">.   The Series A depositary shares will be issued in book-entry form through DTC. The Series A Preferred Stock will be issued in registered form to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Anti-Takeover Provisions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Illinois law, banking laws and certain provisions of our articles of incorporation and bylaws could have the effect of delaying or deferring the removal of incumbent directors or delaying, deferring or discouraging another party from acquiring control of us, even if such removal or acquisition would be viewed by our shareholders to be in their best interests. These provisions, summarized below, are intended to encourage persons seeking to acquire control of us to first negotiate with our board of directors. These provisions also serve to discourage hostile takeover practices and inadequate takeover bids. We believe that these provisions are beneficial because the negotiation they encourage could result in improved terms of any unsolicited proposal.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Classified Board of Directors; Noncumulative Voting for Directors.</w:t>
      </w:r>
      <w:r>
        <w:rPr>
          <w:rFonts w:ascii="Times New Roman;Times;serif" w:hAnsi="Times New Roman;Times;serif"/>
          <w:b w:val="false"/>
          <w:i w:val="false"/>
          <w:caps w:val="false"/>
          <w:smallCaps w:val="false"/>
          <w:color w:val="000000"/>
          <w:spacing w:val="4"/>
          <w:sz w:val="20"/>
          <w:shd w:fill="FFFFFF" w:val="clear"/>
        </w:rPr>
        <w:t xml:space="preserve">   Our articles of incorporation provide that our board of directors is classified into three classes of directors, with the members of one class to be elected each year, which prevents a majority of our directors from being removed at a single annual meeting. In addition, our articles of incorporation specify that, as permitted by the Illinois Business Corporation Act of 1983, which we refer to as the “IBCA,” directors may be removed during their three-year terms only for “cause.” See the discussion below under “— Filling of Board Vacancies; Removals” for the definition of “cause.”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also provide for noncumulative voting for directors, which may make it more difficult for a non-company nominee to be elected to our board of directors.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Authorized But Unissued Capital Stock.</w:t>
      </w:r>
      <w:r>
        <w:rPr>
          <w:rFonts w:ascii="Times New Roman;Times;serif" w:hAnsi="Times New Roman;Times;serif"/>
          <w:b w:val="false"/>
          <w:i w:val="false"/>
          <w:caps w:val="false"/>
          <w:smallCaps w:val="false"/>
          <w:color w:val="000000"/>
          <w:spacing w:val="4"/>
          <w:sz w:val="20"/>
          <w:shd w:fill="FFFFFF" w:val="clear"/>
        </w:rPr>
        <w:t xml:space="preserve">   We have authorized but unissued shares of common stock, non-voting common stock, and preferred stock, and our board of directors may authorize the issuance of one or more series of preferred stock without shareholder approval. These shares could be used by our board of directors to make it more difficult or to discourage an attempt to obtain control of us through a merger, tender offer, proxy contest or otherwise.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Limitation on Right to Call a Special Meeting of Shareholders.</w:t>
      </w:r>
      <w:r>
        <w:rPr>
          <w:rFonts w:ascii="Times New Roman;Times;serif" w:hAnsi="Times New Roman;Times;serif"/>
          <w:b w:val="false"/>
          <w:i w:val="false"/>
          <w:caps w:val="false"/>
          <w:smallCaps w:val="false"/>
          <w:color w:val="000000"/>
          <w:spacing w:val="4"/>
          <w:sz w:val="20"/>
          <w:shd w:fill="FFFFFF" w:val="clear"/>
        </w:rPr>
        <w:t xml:space="preserve">   Our bylaws provide that special meetings of shareholders may only be called by our board or our president or by the holders of not less than 20% of our outstanding shares of capital stock entitled to vote for the purpose or purposes for which the meeting is being called.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Advance Notice Provisions.</w:t>
      </w:r>
      <w:r>
        <w:rPr>
          <w:rFonts w:ascii="Times New Roman;Times;serif" w:hAnsi="Times New Roman;Times;serif"/>
          <w:b w:val="false"/>
          <w:i w:val="false"/>
          <w:caps w:val="false"/>
          <w:smallCaps w:val="false"/>
          <w:color w:val="000000"/>
          <w:spacing w:val="4"/>
          <w:sz w:val="20"/>
          <w:shd w:fill="FFFFFF" w:val="clear"/>
        </w:rPr>
        <w:t xml:space="preserve">   Our bylaws generally require a shareholder desiring to propose new business at a shareholder meeting to provide advance written notice to our corporate secretary, not less than 90 days nor more than 120 days prior to the date of the meeting, containing certain information about the shareholder and the business to be brought. Only business within the purposes described in the notice of the meeting may be conducted at a special meeting. This provision could delay shareholder actions that are favored by the holders of a majority of our outstanding stock until the next shareholders’ meeting.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our bylaws provide that nominations for directors must be made in accordance with the provisions of our bylaws, which generally require, among other things, that such nominations be provided in writing to our corporate secretary, not less than 90 days nor more than 120 days prior to the meeting, and that the notice to our corporate secretary contain certain information about the shareholder and the director nominee.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No Action By Written Consent of Shareholders.</w:t>
      </w:r>
      <w:r>
        <w:rPr>
          <w:rFonts w:ascii="Times New Roman;Times;serif" w:hAnsi="Times New Roman;Times;serif"/>
          <w:b w:val="false"/>
          <w:i w:val="false"/>
          <w:caps w:val="false"/>
          <w:smallCaps w:val="false"/>
          <w:color w:val="000000"/>
          <w:spacing w:val="4"/>
          <w:sz w:val="20"/>
          <w:shd w:fill="FFFFFF" w:val="clear"/>
        </w:rPr>
        <w:t xml:space="preserve">   Our articles of incorporation provide that any action required or permitted to be taken by the holders of our capital stock must be effected at a duly called annual or special meeting of the holders of our capital stock and may not be effected by any consent in writing by our shareholders.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Filling of Board Vacancies; Removals.</w:t>
      </w:r>
      <w:r>
        <w:rPr>
          <w:rFonts w:ascii="Times New Roman;Times;serif" w:hAnsi="Times New Roman;Times;serif"/>
          <w:b w:val="false"/>
          <w:i w:val="false"/>
          <w:caps w:val="false"/>
          <w:smallCaps w:val="false"/>
          <w:color w:val="000000"/>
          <w:spacing w:val="4"/>
          <w:sz w:val="20"/>
          <w:shd w:fill="FFFFFF" w:val="clear"/>
        </w:rPr>
        <w:t xml:space="preserve">   Any vacancies in our board of directors and any directorships resulting from any increase in the number of directors may be filled by the board, acting by not less than two-thirds of the directors then in office, although less than a quorum, and any directors so chosen will hold office until the next election of the class for which such directors have been chosen and until their successors have been elected and qualified. Furthermore, our articles of incorporation specify that directors may only be removed by shareholders for “cause,” and that removal of a director for cause by our shareholders requires the affirmative vote of the holders of not less than 70% of the outstanding shares of capital stock entitled to vote generally in the election of directors. “Cause” will be deemed to exist only if the director whose removal is proposed has been convicted of a felony or has been adjudged by a court to be liable for gross negligence or willful misconduct in the performance of such director’s duty to us and such adjudication is no longer subject to direct appeal.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Amendment of the Bylaws.</w:t>
      </w:r>
      <w:r>
        <w:rPr>
          <w:rFonts w:ascii="Times New Roman;Times;serif" w:hAnsi="Times New Roman;Times;serif"/>
          <w:b w:val="false"/>
          <w:i w:val="false"/>
          <w:caps w:val="false"/>
          <w:smallCaps w:val="false"/>
          <w:color w:val="000000"/>
          <w:spacing w:val="4"/>
          <w:sz w:val="20"/>
          <w:shd w:fill="FFFFFF" w:val="clear"/>
        </w:rPr>
        <w:t xml:space="preserve">   Our articles of incorporation and bylaws provide that our bylaws may be altered, amended or repealed by our board without prior notice to or approval by our shareholders. Our bylaws may also be altered, amended or repealed by the affirmative vote of holders of not less than 70% of the outstanding shares of our capital stock entitled to vote generally in the election of directors. Accordingly, our board could take action to amend our bylaws in a manner that could have the effect of delaying, deferring or discouraging another party from acquiring control of 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Supermajority Voting Provisions.</w:t>
      </w:r>
      <w:r>
        <w:rPr>
          <w:rFonts w:ascii="Times New Roman;Times;serif" w:hAnsi="Times New Roman;Times;serif"/>
          <w:b w:val="false"/>
          <w:i w:val="false"/>
          <w:caps w:val="false"/>
          <w:smallCaps w:val="false"/>
          <w:color w:val="000000"/>
          <w:spacing w:val="4"/>
          <w:sz w:val="20"/>
          <w:shd w:fill="FFFFFF" w:val="clear"/>
        </w:rPr>
        <w:t xml:space="preserve">   Our articles of incorporation provide for certain heightened voting thresholds needed to consummate a change in control transaction, such as a merger, the sale of substantially all of our assets or other similar transaction. Accordingly, we will not be able to consummate a change in control transaction or sell all or substantially all of our assets without obtaining the affirmative vote of the holders of shares of our capital stock having at least 70% of the voting power of all outstanding capital stock entitled to vote thereon. Notwithstanding the foregoing, if at least 66-2/3% of our directors approve any such transaction, then the supermajority voting provisions set forth in our articles of incorporation will not apply and only a majority vote of our shareholders will be required to approve such transaction.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520"/>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Illinois Law.</w:t>
      </w:r>
      <w:r>
        <w:rPr>
          <w:rFonts w:ascii="Times New Roman;Times;serif" w:hAnsi="Times New Roman;Times;serif"/>
          <w:b w:val="false"/>
          <w:i w:val="false"/>
          <w:caps w:val="false"/>
          <w:smallCaps w:val="false"/>
          <w:color w:val="000000"/>
          <w:spacing w:val="4"/>
          <w:sz w:val="20"/>
          <w:shd w:fill="FFFFFF" w:val="clear"/>
        </w:rPr>
        <w:t xml:space="preserve">   Our articles of incorporation expressly provide that Section 7.85 of the IBCA, which applies to interested shareholder transactions, will apply to our company. Section 7.85 requires that, except in limited circumstances, a “business combination” with an “interested shareholder” be approved by (i) the affirmative vote of the holders of at least 80% of the combined voting power of the then outstanding shares entitled to vote generally in the election of directors; and (ii) the affirmative vote of a majority of the voting shares of stock held by “disinterested shareholders.” A “disinterested shareholder” is a shareholder who is not an “interested shareholder” or an affiliate or an associate of an interested shareholder. An “interested shareholder” means: (i) a person that is the owner of 15% or more of our outstanding voting shares or is an affiliate or associate of ours and was the owner of 15% or more of our outstanding voting shares at any time within the three year period immediately before the date on which it is sought to be determined whether the person is an interested shareholder; and (ii) the affiliates and associates of that person. This provision may have the effect of inhibiting a non-negotiated merger or other business combination involving us, even if such event would be beneficial to our shareholders.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foregoing, the higher vote requirement set forth in Section 7.85 of the IBCA will not be applicable to any transaction if either: (i) the transaction has been approved by 66-2/3% of the disinterested directors; or (ii) the transaction satisfies certain fair price and procedure requirements.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Consideration of Non-Shareholder Interests.</w:t>
      </w:r>
      <w:r>
        <w:rPr>
          <w:rFonts w:ascii="Times New Roman;Times;serif" w:hAnsi="Times New Roman;Times;serif"/>
          <w:b w:val="false"/>
          <w:i w:val="false"/>
          <w:caps w:val="false"/>
          <w:smallCaps w:val="false"/>
          <w:color w:val="000000"/>
          <w:spacing w:val="4"/>
          <w:sz w:val="20"/>
          <w:shd w:fill="FFFFFF" w:val="clear"/>
        </w:rPr>
        <w:t xml:space="preserve">   Section 8.85 of the IBCA provides that, in discharging their duties, the board of directors, committees of the board, individual directors and individual officers of an Illinois corporation may, in considering the best long term and short term interests of the corporation, consider the effects of any action (including without limitation, action which may involve or relate to a change or potential change in control of the corporation) upon employees, suppliers and customers of the corporation or its subsidiaries, communities in which offices or other establishments of the corporation or its subsidiaries are located, and all other pertinent factors. Our articles of incorporation incorporate the concept in Section 8.85 of the IBCA and permit our board to consider, in connection with the exercise of its judgment in determining what is in the best interests of our company and our shareholders when evaluating a potential change in control transaction, a variety of interests beyond the direct financial interests of our shareholders, including the social and economic effects of the transaction on us and the other elements of the communities in which we operate.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Banking Laws.</w:t>
      </w:r>
      <w:r>
        <w:rPr>
          <w:rFonts w:ascii="Times New Roman;Times;serif" w:hAnsi="Times New Roman;Times;serif"/>
          <w:b w:val="false"/>
          <w:i w:val="false"/>
          <w:caps w:val="false"/>
          <w:smallCaps w:val="false"/>
          <w:color w:val="000000"/>
          <w:spacing w:val="4"/>
          <w:sz w:val="20"/>
          <w:shd w:fill="FFFFFF" w:val="clear"/>
        </w:rPr>
        <w:t>   The ability of a third party to acquire us is also subject to applicable banking laws and regulations. The Bank Holding Company Act of 1953, as amended, which we refer to as the “BHCA,” and the regulations thereunder require any “bank holding company” ​(as defined in the BHCA) to obtain the approval of the Federal Reserve prior to acquiring more than 5% of the outstanding shares of a class of our voting stock. Any person other than a bank holding company is required to obtain prior approval of the Federal Reserve to acquire 10% or more of the outstanding shares of a class of our voting stock under the Change in Bank Control Act of 1978. 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 For purposes of calculating ownership thresholds under these banking regulations, bank regulators would likely at least take the position that the minimum number of shares, and could take the position that the maximum number of shares, of our common stock that a holder is entitled to receive pursuant to securities convertible into or settled in our common stock, including pursuant to warrants to purchase our common stock held by such holder, must be taken into account in calculating a shareholder’s aggregate holdings of our common stock.</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DODS"/>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that we may offer using this prospectus consist of notes, debentures or other evidences of indebtedness. Any debt securities that we may offer and sell will be our direct obligations. Debt securities may be issued in one or more series. All debt securities of any one series need not be issued at the same time, and unless otherwise provided, a series of debt securities may be reopened, without the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As required by the Trust Indenture Act of 1939, as amended (which we refer to as the “Trust Indenture Act”), for all debt securities that are publicly offered, our debt securities will be governed by a document called an indenture. The form of indenture is subject to any amendments or supplements that we may enter into with the trustee(s) setting forth the specific terms and conditions of the debt securities being issued. The indenture is filed as an exhibit to the registration statement of which this prospectus forms a part.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the debt securities, including, as applicable, whether the debt securities will be issued as senior debt securities, senior subordinated debt securities or subordinated debt securities, and any subordination provisions particular to the series of debt securities, if different from those described below under “— Subordinated Debt Securities;”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limit on the aggregate principal amount of the debt securities; </w:t>
      </w:r>
      <w:r>
        <mc:AlternateContent>
          <mc:Choice Requires="wps">
            <w:drawing>
              <wp:anchor behindDoc="0" distT="609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100% of the aggregate principal amount, the percentage of the aggregate principal amount at which we will sell the debt securities (i.e., original issuance discount); </w:t>
      </w:r>
      <w:r>
        <mc:AlternateContent>
          <mc:Choice Requires="wps">
            <w:drawing>
              <wp:anchor behindDoc="0" distT="609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or dates, whether fixed or extendable, on which the principal of the debt securities will be payable; </w:t>
      </w:r>
      <w:r>
        <mc:AlternateContent>
          <mc:Choice Requires="wps">
            <w:drawing>
              <wp:anchor behindDoc="0" distT="609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 </w:t>
      </w:r>
      <w:r>
        <mc:AlternateContent>
          <mc:Choice Requires="wps">
            <w:drawing>
              <wp:anchor behindDoc="0" distT="609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provisions relating to the issuance of the debt securities of the series at an original issue discount; </w:t>
      </w:r>
      <w:r>
        <mc:AlternateContent>
          <mc:Choice Requires="wps">
            <w:drawing>
              <wp:anchor behindDoc="0" distT="609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or places where the principal of, and any premium or interest on, the debt securities will be payable and, if applicable, where the debt securities may be surrendered for conversion or exchange; </w:t>
      </w:r>
      <w:r>
        <mc:AlternateContent>
          <mc:Choice Requires="wps">
            <w:drawing>
              <wp:anchor behindDoc="0" distT="609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we may, at our option, redeem, repurchase or repay the debt securities, and if so, the price or prices at which, the period or periods within which, and the terms and conditions upon which, we may redeem, repurchase or repay the debt securities, in whole or in part, pursuant to any sinking fund or otherwise; </w:t>
      </w:r>
      <w:r>
        <mc:AlternateContent>
          <mc:Choice Requires="wps">
            <w:drawing>
              <wp:anchor behindDoc="0" distT="609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 </w:t>
      </w:r>
      <w:r>
        <mc:AlternateContent>
          <mc:Choice Requires="wps">
            <w:drawing>
              <wp:anchor behindDoc="0" distT="609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obligation we may have to redeem, purchase or repay the debt securities pursuant to any sinking fund or analogous provisions or at the option of a holder of debt securities, and the price or prices at which, the currency in which and the period or periods within which, and the other terms and conditions upon which, the debt securities will be redeemed, purchased or repaid, in whole or in part, pursuant to any such obligation, and any provision for the remarketing of the debt securities; </w:t>
      </w:r>
      <w:r>
        <mc:AlternateContent>
          <mc:Choice Requires="wps">
            <w:drawing>
              <wp:anchor behindDoc="0" distT="609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9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will be registered securities or unregistered securities or both, and the rights of the holders of the debt securities to exchange unregistered securities for registered securities, or vice-versa, and the circumstances under which any such exchanges, if permitted, may be made; </w:t>
      </w:r>
      <w:r>
        <mc:AlternateContent>
          <mc:Choice Requires="wps">
            <w:drawing>
              <wp:anchor behindDoc="0" distT="609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denominations, which may be in U.S. dollars or in any foreign currency, in which the debt securities will be issued, if other than denominations of $1,000 and any integral multiple thereof; </w:t>
      </w:r>
      <w:r>
        <mc:AlternateContent>
          <mc:Choice Requires="wps">
            <w:drawing>
              <wp:anchor behindDoc="0" distT="0" distB="0" distL="254000" distR="0" simplePos="0" locked="0" layoutInCell="1" allowOverlap="1" relativeHeight="80">
                <wp:simplePos x="0" y="0"/>
                <wp:positionH relativeFrom="column">
                  <wp:align>left</wp:align>
                </wp:positionH>
                <wp:positionV relativeFrom="line">
                  <wp:posOffset>635</wp:posOffset>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U.S. dollars, the currency or currencies in which payments of principal, interest and other amounts payable with respect to the debt securities will be denominated, payable, redeemable or repurchasable, as the case may be;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may be issuable in tranches;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the conversion price or exchange ratio), and any limitations on the ownership or transferability of the securities or property into which the debt securities may be converted or exchanged;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trustees, authenticating or paying agents, transfer agents or registrars or any other agents with respect to the debt securities;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debt securities do not bear interest, the applicable dates required under the indenture for furnishing information to the trustee regarding the holders of the debt securities;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deletions from, modifications of or additions to (i) the events of default with respect to the debt securities or (ii) the rights of the trustee or the holders of the debt securities in connection with events of default;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deletions from, modifications of or additions to the covenants with respect to the debt securities;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amount of payments of principal of, and make-whole amount, if any, and interest on the debt securities may be determined with reference to an index, the manner in which such amount will be determined;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under what circumstances and the currency in which, we will pay additional amounts on the debt securities to any holder of the debt securities who is not a U.S. person in respect of any tax, assessment or governmental charge and, if so, whether we will have the option to redeem such debt securities rather than pay such additional amounts (and the terms of any such option);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in whole or specified parts, will be defeasible, and, if the securities may be defeased, in whole or in specified part, any provisions to permit a pledge of obligations other than certain government obligations to satisfy the requirements of the indenture regarding defeasance of securities and, if other than by resolution of our board of directors, the manner in which any election to defease the debt securities will be evidenced;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will be secured by any property, assets or other collateral and, if so, a general description of the collateral and the terms of any related security, pledge or other agreements;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persons to whom any interest on the debt securities will be payable, if other than the registered holders thereof on the regular record date therefor;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on which interest, if any, will be payable and the regular record dates for interest payment dates;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restrictions, conditions or requirements for transfer of the debt securities; and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material terms or conditions upon which the debt securities will be issued.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the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the applicable prospectus supplement, the trustee will act as paying agent and registrar for the debt securities under the indenture. We may also act as paying agent under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contain a description of U.S. federal income tax consequences relating to the debt securities, to the extent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any covenants, such as restrictive covenants restricting us or any of our subsidiaries from incurring, issuing, assuming or guarantying any indebtedness or restricting us or any of our subsidiaries from paying dividends or acquiring any of our or its capital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Consolidation, Merger and Transfer of Assets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the applicable prospectus supplement, the indenture will permit a consolidation or merger between us and another entity and/or the sale, conveyance or lease by us of all or substantially all of our property and assets; provided, however, that: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the surviving or continuing entity, or the resulting or acquiring entity, if other than us, is organized and existing under the laws of a U.S. jurisdiction and assumes, pursuant to a supplemental indenture, all of our responsibilities and liabilities under the indenture, including the payment of all amounts due on the debt securities and performance of the covenants in the indenture;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after the transaction, and giving effect to the transaction, no event of default under the indenture exists; and </w:t>
      </w:r>
      <w:r>
        <mc:AlternateContent>
          <mc:Choice Requires="wps">
            <w:drawing>
              <wp:anchor behindDoc="0" distT="7239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 </w:t>
      </w:r>
      <w:r>
        <mc:AlternateContent>
          <mc:Choice Requires="wps">
            <w:drawing>
              <wp:anchor behindDoc="0" distT="7239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foregoing, we may transfer all of our property and assets to another entity if, immediately after giving effect to the transfer, such entity is our wholly owned subsidiary. The term “wholly owned subsidiary” means any subsidiary in which we and/or our other wholly owned subsidiaries own all of the outstanding capital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the applicable prospectus supplement, 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change in the stated maturity date of any payment of principal or interest; </w:t>
      </w:r>
      <w:r>
        <mc:AlternateContent>
          <mc:Choice Requires="wps">
            <w:drawing>
              <wp:anchor behindDoc="0" distT="0" distB="0" distL="254000" distR="0" simplePos="0" locked="0" layoutInCell="1" allowOverlap="1" relativeHeight="101">
                <wp:simplePos x="0" y="0"/>
                <wp:positionH relativeFrom="column">
                  <wp:align>left</wp:align>
                </wp:positionH>
                <wp:positionV relativeFrom="line">
                  <wp:posOffset>635</wp:posOffset>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reduction in the principal amount of, or interest on, any debt securities;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alteration or impairment of any right to convert at the rate or upon the terms provided in the indenture;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change in the currency in which any payment on the debt securities is payable;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impairment of a holder’s right to sue us for the enforcement of payments due on the debt securities; or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reduction in the percentage of outstanding debt securities required to consent to a modification or amendment of the indenture or required to consent to a waiver of compliance with certain provisions of the indenture or certain defaults under the indenture.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indenture, the holders of not less than a majority in aggregate principal amount of the outstanding debt securities may, on behalf of all holders of the debt securities: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compliance by us with certain restrictive provisions of the indenture; and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any past default under the indenture in accordance with the applicable provisions of the indenture, except a default in the payment of the principal of, or interest on, any series of debt securities.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the applicable prospectus supplement, “event of default” under the indenture will mean, with respect to any series of debt securities, any of the following: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in the payment of any interest upon any security of such series as and when it becomes due and payable, and continuance of such default for a period of 30 days;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in the payment of the principal of the securities of such series as and when it becomes due and payable either at maturity, upon redemption (for any sinking fund payment or otherwise), by declaration or otherwise;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failure to observe or perform any of our other covenants or agreements in the securities of such series, or in the Indenture and relating to such series, for a period of 90 days after the date on which written notice specifying such failure and requiring us to remedy the failure and stating that such notice is a “Notice of Default” shall have been given to us in accordance with the indenture by the trustee for the securities of such series, or to us and the trustee by the holders of not less than 25% in aggregate principal amount at maturity of the securities of such series then outstanding;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we make an assignment for the benefit of creditors, or file a petition in bankruptcy; or we are adjudicated insolvent or bankrupt, or petition or apply to any court having jurisdiction for the appointment of a receiver, trustee, liquidator or sequestrator of, or for, us or any substantial portion of our property; or we commence any proceeding relating to us or any substantial portion of our property under any insolvency, reorganization, arrangement or readjustment of debt, dissolution, winding-up, adjustment, composition or liquidation law or statute of any jurisdiction, whether now or hereafter in effect, which we refer to as a “proceeding”; or if there is commenced against us any proceeding and an order approving the petition is entered, or such proceeding remains undischarged or unstayed for a period of 90 days; or a receiver, trustee, liquidator or sequestrator of, or for, us or any substantial portion of our property is appointed and is not discharged within a period of 90 days; or we by any act indicate consent to or approval of or acquiescence in any proceeding or the appointment of a receiver, trustee, liquidator or sequestrator of, or for, us or any substantial portion of our property; provided that a resolution or order for our winding-up with a view to our consolidation, amalgamation or merger with another entity or the transfer of our assets as a whole, or substantially as a whole, to such other entity as permitted by the indenture does not make these rights and remedies enforceable if such entity, as a part of such consolidation, amalgamation, merger or transfer, and within 90 days from the passing of the resolution or the date of the order, complies with the conditions described under “Consolidation, Merger and Transfer of Assets;” or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event of default provided in the supplemental indenture or board resolution under which such series of securities is issued or in the form of security for such series. </w:t>
      </w:r>
      <w:r>
        <mc:AlternateContent>
          <mc:Choice Requires="wps">
            <w:drawing>
              <wp:anchor behindDoc="0" distT="0" distB="0" distL="254000" distR="0" simplePos="0" locked="0" layoutInCell="1" allowOverlap="1" relativeHeight="113">
                <wp:simplePos x="0" y="0"/>
                <wp:positionH relativeFrom="column">
                  <wp:align>left</wp:align>
                </wp:positionH>
                <wp:positionV relativeFrom="line">
                  <wp:posOffset>635</wp:posOffset>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the applicable prospectus supplement, 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described in the fourth bullet point above occurs,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interests of the holders. For purposes of this paragraph, “default” means any event which is, or after notice or lapse of time or both would become, an event of default under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conducting any proceeding for any remedy available to the trustee; or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exercising any trust or power conferred upon the trustee.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of a debt security will have the right to begin any proceeding with respect to the indenture or for any remedy only if: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has previously given the trustee written notice of a continuing event of default;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not less than a majority in aggregate principal amount of the outstanding debt securities have made a written request of, and offered the required security or indemnity to, the trustee to begin such proceeding;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has not started such proceeding within 60 days after receiving the request and offer of security or indemnity; and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direction inconsistent with such written request has been given to the trustee under the indenture.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However, the holder of any debt security will have an absolute right to receive payment of principal of, and interest on, the debt security when due and to institute suit to enforce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Satisfaction and Discharge; 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Satisfaction and Discharge of Indenture.</w:t>
      </w:r>
      <w:r>
        <w:rPr>
          <w:rFonts w:ascii="Times New Roman;Times;serif" w:hAnsi="Times New Roman;Times;serif"/>
          <w:b w:val="false"/>
          <w:i w:val="false"/>
          <w:caps w:val="false"/>
          <w:smallCaps w:val="false"/>
          <w:color w:val="000000"/>
          <w:spacing w:val="4"/>
          <w:sz w:val="20"/>
          <w:shd w:fill="FFFFFF" w:val="clear"/>
        </w:rPr>
        <w:t xml:space="preserve">   Unless we indicate otherwise in the applicable prospectus supplement, if at any time,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paid the principal of and interest on all the debt securities of any series, except for debt securities which have been destroyed, lost or stolen and which have been replaced or paid in accordance with the indenture, as and when the same has become due and payable;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delivered to the trustee for cancellation all debt securities of any series theretofore authenticated, except for debt securities of such series which have been destroyed, lost or stolen and which have been replaced or paid as provided in the indenture; or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the debt securities of such series not theretofore delivered to the trustee for cancellation have become due and payable, or by their terms are to become due and payable within one year or are to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 called for redemption within one year, and we have deposited irrevocably with the trustee, in trust, sufficient money or government obligations, or a combination thereof, to pay the principal, any interest and any other sums due on the debt securities, on the dates the payments are due or become due under the indenture and the terms of the debt securities;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then the indenture shall cease to be of further effect with respect to the debt securities of such series, except for (i) rights of registration of transfer and exchange, and our right of optional redemption, (ii) substitution of mutilated, defaced, destroyed, lost or stolen debt securities, (iii) rights of holders to receive payments of principal thereof and interest thereon upon the original stated due dates therefor (but not upon acceleration) and remaining rights of the holders to receive mandatory sinking fund payments, if any, (iv) the rights, powers, trusts, duties and immunities of the trustee under the indenture and our obligations in connection therewith, and (v) the rights of the holders of such series of debt securities as beneficiaries thereof with respect to the property so deposited with the trustee payable to all or any of them.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Defeasance and Covenant Defeasance.   </w:t>
      </w:r>
      <w:r>
        <w:rPr>
          <w:rFonts w:ascii="Times New Roman;Times;serif" w:hAnsi="Times New Roman;Times;serif"/>
          <w:b w:val="false"/>
          <w:i w:val="false"/>
          <w:caps w:val="false"/>
          <w:smallCaps w:val="false"/>
          <w:color w:val="000000"/>
          <w:spacing w:val="4"/>
          <w:sz w:val="20"/>
          <w:shd w:fill="FFFFFF" w:val="clear"/>
        </w:rPr>
        <w:t xml:space="preserve">Unless we indicate otherwise in the applicable prospectus supplement, we may elect with respect to any debt securities of any series: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defease and be discharged from all of our obligations with respect to such debt securities (“defeasance”), with certain exceptions described below; or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(“covenant defeasance”).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must comply with the following conditions before the defeasance or covenant defeasance can be effected: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must irrevocably deposit with the indenture trustee or other qualifying trustee, trust funds in trust solely for the benefit of the holders of such debt securities, sufficient money or government obligations, or a combination thereof, to pay the principal, any interest and any other sums on the due dates for those payments;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must deliver to the trustee an opinion of counsel to the effect that the holders of such debt securities will not recognize income, gain or loss for federal income tax purposes as a result of such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 and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must deliver to the trustee an officers’ certificate and opinion of counsel stating that all conditions precedent relating to such defeasance or covenant defeasance, as the case may be, have been complied with.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defeasance, any irrevocable trust agreement contemplated by the indenture must include, among other things, provision for (i) payment of the principal of and interest on such debt securities, if any, appertaining thereto when due (by redemption, sinking fund payments or otherwise), (ii) the payment of the expenses of the trustee incurred or to be incurred in connection with carrying out such trust provisions, (iii) rights of registration, transfer, substitution and exchange of such debt securities in accordance with the terms stated in the indenture, and (iv) the rights, powers, trusts, duties and immunities of the trustee under the indenture and our obligations in connection therewith as stated in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accompanying prospectus supplement may further describe any provisions permitting or restricting defeasance or covenant defeasance with respect to the debt securities of a particular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Subordination of the Subordinated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indicate otherwise in the applicable prospectus supplement, the indenture provides that the subordinated debt securities will be unsecured and will rank equally with any of our future unsecured subordinated indebtedness, and will be subordinated in right of payment to all of our existing and future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indebtedness. The subordinated debt securities will be structurally subordinated to all existing and future indebtedness, liabilities and other obligations of our subsidiaries (including, in the case of the Bank, deposits) which means that creditors (including, in the case of the Bank, its depositors) and any preferred equity holders of our subsidiaries generally will be paid from those subsidiaries’ assets before holders of the subordinated debt securities would have any claims to those assets.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Senior indebtedness” means the principal of, and premium, if any, and interest on (i) all of our “indebtedness for money borrowed” whether outstanding on the date of execution of the Subordinated Indenture or thereafter created, assumed or incurred, except for indebtedness that expressly states that it is subordinate in right of payment to our indebtedness for borrowed money and (ii) any deferrals, renewals or extensions of any such indebtedness for money borrowed. “Senior indebtedness” excludes, among other things, trade creditor indebtedness arising in the ordinary course of business and any indebtedness between or among us and our affiliates.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“indebtedness for money borrowed” means: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obligation of, or any obligation guaranteed by, us for the repayment of money borrowed, whether or not evidenced by bonds, debentures, notes or other written instruments;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off-balance sheet guarantee obligation;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obligation under a direct credit substitute, including any letters of credit, bankers’ acceptance, security purchases facility or similar agreement;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capitalized lease obligation;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deferred obligation for payment of the purchase price of any property or assets;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obligations of the type referred to above of other persons for the payment of which we are responsible or liable as obligor, guarantor or otherwise; and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obligations of the type referred to above of other persons secured by any lien on any of our property or assets, whether or not such obligation is assumed by us.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subordinated debt securities will also be subordinated in right of payment to all “other company obligations,” which is defined to include our obligations associated with derivative products such as interest rate and currency exchange contracts, foreign exchange contracts, commodity contracts, or any similar arrangements, unless the instrument by which we incurred, assumed or guaranteed the obligation expressly provides that it is subordinate or junior in right of payment to any of our other indebtedness or obligations.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liquidation, dissolution, winding up, or reorganization of us or the Bank, we must pay to the holders of all of our senior indebtedness the full amounts of principal of, and premium, if any, and interest on, that senior indebtedness before any payment is made on the subordinated debt securities. If, after we have made those payments on our senior indebtedness (i) there are amounts available for payment on the subordinated debt securities (such amounts being defined in the indenture as “excess proceeds”) and (ii) at such time, any creditors in respect of “other company obligations” have not received their full payments, then we shall first use such excess proceeds to pay in full all “other company obligations” before we make any payment on the subordinated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Because of the subordination provisions and the obligation to pay excess proceeds described above, in the event of insolvency of us or the Bank, holders of the subordinated debt securities may recover less ratably than holders of our senior indebtedness, creditors with respect to “other company obligations” and other creditors of ours.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some circumstances relating to our or the Bank’s liquidation, receivership, dissolution, winding-up, reorganization, insolvency or similar proceedings, the holders of all senior indebtedness may be entitled to receive payment in full before the holders of the subordinated debt securities will be entitled to receive any payment on the subordinated debt securities. In addition, we may make no payment on the subordinated debt securities prior to payment in full of all senior indebtedness in the event that (i) any security of any series is declared due and payable prior to its expressed maturity because of an event of default under the Subordinated Indenture or (ii) there is a default on any senior indebtedness which permits the holders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senior indebtedness to accelerate the maturity of the senior indebtedness if either (A) written notice of such default is given to us and to the trustee, provided that judicial proceedings are commenced in respect of such default within 180 days in the case of a default in payment of principal or interest and within 90 days in the case of any other default after the giving of such notice and provided further that only one such notice shall be given in any twelve month period or (B) judicial proceedings are pending in respect of such default. By reason of this subordination in favor of the holders of senior indebtedness, in the event of a liquidation, receivership, dissolution, winding-up, reorganization, insolvency or similar proceeding, our creditors who are not holders of senior indebtedness may recover less, proportionately, than holders of senior indebtedness.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subordinated debt securities may be fully subordinated to interests held by the U.S. government in the event of a receivership, insolvency, liquidation, or similar proceeding by us, including a proceeding under the orderly liquidation authority provisions of the Dodd-Frank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Securities Exchange Act of 1934, as amended, which we refer to as the “Exchange Act.” We will describe the specific terms of the depositary arrangement with respect to a series of debt securities to be represented by a global security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give notices to holders of the debt securities by mail at the addresses listed in the security register or, with respect to global securities, in accordance with the rules, policies and procedures of the applicable securities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the debt securities will be governed by, and construed in accordance with, the laws of the State of New York, except to the extent the Trust Indenture Act is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Regarding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val="false"/>
          <w:i w:val="false"/>
          <w:caps w:val="false"/>
          <w:smallCaps w:val="false"/>
          <w:color w:val="000000"/>
          <w:spacing w:val="4"/>
          <w:sz w:val="20"/>
          <w:shd w:fill="FFFFFF" w:val="clear"/>
        </w:rPr>
        <w:t xml:space="preserve">.   From time to time, we may maintain deposit accounts and conduct other banking transactions with the trustee to be appointed under the indenture or its affiliates in the ordinary course of business.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Resignation or Removal of Trustee</w:t>
      </w:r>
      <w:r>
        <w:rPr>
          <w:rFonts w:ascii="Times New Roman;Times;serif" w:hAnsi="Times New Roman;Times;serif"/>
          <w:b w:val="false"/>
          <w:i w:val="false"/>
          <w:caps w:val="false"/>
          <w:smallCaps w:val="false"/>
          <w:color w:val="000000"/>
          <w:spacing w:val="4"/>
          <w:sz w:val="20"/>
          <w:shd w:fill="FFFFFF" w:val="clear"/>
        </w:rPr>
        <w:t xml:space="preserve">.   If the trustee has or acquires a conflicting interest within the meaning of the Trust Indenture Act, the trustee must either eliminate its conflicting interest or resign, to the extent and in the manner provided by, and subject to the provisions of, the Trust Indenture Act and the indenture. Any resignation will require the appointment of a successor trustee under the indenture in accordance with the terms and conditions of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Annual Trustee Report to Holders of Debt Securities</w:t>
      </w:r>
      <w:r>
        <w:rPr>
          <w:rFonts w:ascii="Times New Roman;Times;serif" w:hAnsi="Times New Roman;Times;serif"/>
          <w:b w:val="false"/>
          <w:i w:val="false"/>
          <w:caps w:val="false"/>
          <w:smallCaps w:val="false"/>
          <w:color w:val="000000"/>
          <w:spacing w:val="4"/>
          <w:sz w:val="20"/>
          <w:shd w:fill="FFFFFF" w:val="clear"/>
        </w:rPr>
        <w:t xml:space="preserve">.   The trustee will be required to submit certain reports to the holders of the debt securities regarding, among other things, the trustee’s eligibility to serve as such, the priority of the trustee’s claims regarding advances made by it, and any action taken by the trustee materially affecting the debt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720"/>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Certificates and Opinions to Be Furnished to Trustee</w:t>
      </w:r>
      <w:r>
        <w:rPr>
          <w:rFonts w:ascii="Times New Roman;Times;serif" w:hAnsi="Times New Roman;Times;serif"/>
          <w:b w:val="false"/>
          <w:i w:val="false"/>
          <w:caps w:val="false"/>
          <w:smallCaps w:val="false"/>
          <w:color w:val="000000"/>
          <w:spacing w:val="4"/>
          <w:sz w:val="20"/>
          <w:shd w:fill="FFFFFF" w:val="clear"/>
        </w:rPr>
        <w:t>.   The indenture provides that, in addition to other certificates or opinions specifically required by other provisions of the indenture, every application by us for action by the trustee must be accompanied by a certificate from one or more of our officers and an opinion of counsel (who may be our counsel) stating that, in the opinion of the signers, all conditions precedent to such action have been complied with by us.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DOW"/>
      <w:bookmarkEnd w:id="11"/>
      <w:r>
        <w:rPr>
          <w:rFonts w:ascii="calibri;arial;sans-serif" w:hAnsi="calibri;arial;sans-serif"/>
          <w:b w:val="false"/>
          <w:i w:val="false"/>
          <w:caps w:val="false"/>
          <w:smallCaps w:val="false"/>
          <w:sz w:val="18"/>
          <w:shd w:fill="E5E4E2" w:val="clear"/>
        </w:rPr>
        <w:t>​</w:t>
      </w:r>
      <w:bookmarkStart w:id="12" w:name="tDOU"/>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warrants for the purchase of debt securities, preferred stock, depositary shares, common stock, non-voting common stock, other securities of ours or any combination of the foregoing. Warrants may be issued alone or together with securities offered by any prospectus supplement and may be attached to, or separate from, those securities. The particular terms of any warrants will be described more specifically in the prospectus supplement relating to such warrants.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relating to any warrants we are offering will include specific terms relating to the offering. We will file the form of any warrant agreement with the SEC, and you should read the warrant agreement for provisions that may be important to you. The prospectus supplement will include some or all of the following information: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and specific designation of the warrants;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aggregate number of warrants offered;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of warrants outstanding, if any;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number and terms of the securities purchasable upon exercise of the warrants, and procedures that will result in the adjustment of those numbers;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or prices of the warrants;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or periods during which the warrants are exercisable;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and terms of any securities with which the warrants are issued;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warrants are issued as a unit with another security, the date, if any, on and after which the warrants and the other security will be separately transferable;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exercise price is not payable in U.S. dollars, the foreign currency, currency unit or composite currency in which the exercise price is denominated;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minimum or maximum amount of warrants that may be exercised at any one time;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anti-dilution, redemption or call provisions of the warrants, if any;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identity of the warrant agent for the warrants and of any other depositaries, execution or paying agents, transfer agents, registrars or other agents;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terms, procedures and limitations relating to the transferability, exchange or exercise of the warrants; and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material terms of the warrants.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Before exercising their warrants, holders of warrants will not have any of the rights of holders of the securities purchasable upon such exercise, including the right to receive dividends, if any, or payments upon our liquidation, dissolution or winding-up, or to exercise voting rights, if 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UNITS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the applicable prospectus supplement, we may issue units consisting of one or more debt securities, shares of common stock, shares of non-voting common stock, shares of preferred stock, depositary shares or warrants, or any combination of such securities, including guarantees of any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prospectus supplement and any other offering materials relating to any units issued under the registration statement containing this prospectus will specify the terms of the units, including: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the units and of any of the debt securities, common stock, preferred stock or warrants and guarantees comprising the units, including whether and under what circumstances the securities comprising the units may be traded separately;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description of the terms of any unit agreement governing the units; and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description of the provisions for the payment, settlement, transfer or exchange of the units.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POD"/>
      <w:bookmarkEnd w:id="13"/>
      <w:r>
        <w:rPr>
          <w:rFonts w:ascii="calibri;arial;sans-serif" w:hAnsi="calibri;arial;sans-serif"/>
          <w:b w:val="false"/>
          <w:i w:val="false"/>
          <w:caps w:val="false"/>
          <w:smallCaps w:val="false"/>
          <w:sz w:val="18"/>
          <w:shd w:fill="E5E4E2" w:val="clear"/>
        </w:rPr>
        <w:t>​</w:t>
      </w:r>
      <w:bookmarkStart w:id="14" w:name="tLEMA"/>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sell the securities covered by this prospectus from time to time at market prices prevailing at the time of sale, at prices related to such prevailing market prices at the time of sale, at negotiated prices or at fixed prices, which may change from time to time. We may sell the securities directly to one or more purchasers, through agents, to dealers, through underwriters, brokers or dealers, in market transactions, including on the Nasdaq Global Select Market, block trades, privately negotiated transactions or through a combination of any of these sales methods or through any other method permitted by law, including in “at the market” equity offerings as defined in Rule 415 of the Securities Act of 1933, as amended, which we refer to as the “Securities Act.” We reserve the right to accept or reject, in whole or in part, any proposed purchase of securities, whether the purchase is to be made directly or through agents.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time that we use this prospectus to sell our securities, we will also provide a prospectus supplement, if required, that contains the specific terms of the offering and plan of distribution.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Only underwriters that we have named in a prospectus supplement will be underwriters of the securities offered by that prospectus supplement. Any such underwriters and the related compensation arrangements, indemnification obligations and other material terms and conditions of the underwriting will be set forth in the applicable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underwriters, brokers, dealers, other financial institutions or agents participating in the distribution of the shares of common stock may be deemed to be “underwriters” within the meaning of the Securities Act, and any discount or commissions received by any such underwriters, broker-dealers or agents may be deemed to be underwriting commissions under the Securities Act.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securities we may offer, other than common stock or other outstanding securities,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securities laws of some states, to the extent applicable, the securities may be sold in such states only through registered or licensed brokers or dealers. In addition, if our common stock is no longer listed on the Nasdaq Global Select Market or another national securities exchange, in some states the securities may not be sold unless such securities have been registered or qualified for sale in such state or an exemption from registration or qualification is available and is complied with.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legal matters in connection with any offering of securities made by this prospectus will be passed upon for us by our counsel Barack Ferrazzano Kirschbaum &amp; Nagelberg LLP of Chicago, Illinois. If the securities are being distributed in an underwritten offering, certain legal matters will be passed upon for the underwriters by counsel identified in the related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EXP"/>
      <w:bookmarkEnd w:id="15"/>
      <w:r>
        <w:rPr>
          <w:rFonts w:ascii="calibri;arial;sans-serif" w:hAnsi="calibri;arial;sans-serif"/>
          <w:b w:val="false"/>
          <w:i w:val="false"/>
          <w:caps w:val="false"/>
          <w:smallCaps w:val="false"/>
          <w:sz w:val="18"/>
          <w:shd w:fill="E5E4E2" w:val="clear"/>
        </w:rPr>
        <w:t>​</w:t>
      </w:r>
      <w:bookmarkStart w:id="16" w:name="tWYCF"/>
      <w:bookmarkEnd w:id="16"/>
      <w:r>
        <w:rPr>
          <w:rFonts w:ascii="calibri;arial;sans-serif" w:hAnsi="calibri;arial;sans-serif"/>
          <w:b w:val="false"/>
          <w:i w:val="false"/>
          <w:caps w:val="false"/>
          <w:smallCaps w:val="false"/>
          <w:sz w:val="18"/>
          <w:shd w:fill="E5E4E2" w:val="clear"/>
        </w:rPr>
        <w:t>​</w:t>
      </w:r>
      <w:bookmarkStart w:id="17" w:name="tIOCI"/>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consolidated financial statements as of December 31, 2025 and 2024, and for each of the years in the three-year period ended December 31, 2025, have been incorporated by reference herein and in the registration statement in reliance upon the report of Crowe LLP, independent registered public accounting firm, incorporated by reference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subject to the informational requirements of the Exchange Act and file with the SEC proxy statements, Annual Reports on Form 10-K, Quarterly Reports on Form 10-Q and Current Reports on Form 8-K, as required of a U.S. listed company. Our SEC filings are available to the public from the SEC’s web site at www.sec.gov or on our website at www.midlandsb.com. However, other than our available SEC filings, the information on, or that can be accessible through, our website does not constitute a part of, and is not incorporated by reference in, this prospectus. Written requests for copies of the documents we file with the SEC should be directed to Midland States Bancorp, Inc., 1201 Network Centre Drive, Effingham, Illinois 62401, Attention: Corporate Secretary, telephone: (217) 342-7321.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on Form S-3 filed by us with the SEC under the Securities Act. As permitted by the SEC, this prospectus does not contain all the information in the registration statement filed with the SEC. For a more complete understanding of this offering, you should refer to the complete registration statement, including exhibits, on Form S-3 that may be obtained as described above. Statements contained in this prospectus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contract or other document or matter involved. Each statement regarding a contract or other document is qualified in its entirety by reference to the actual contract or other document.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INFORMATION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the information that we file with it into this prospectus, which means that we can disclose important information to you by referring you to other documents. The information incorporated by reference is an important part of this prospectus. We incorporate by reference the following documents and any future filings made with the SEC under Sections 13(a), 13(c), 14 or 15(d) of the Exchange Act after the date of this prospectus and prior to the termination of this offering, as well as any filings after the date of the registration statement of which this prospectus forms a part and prior to the effectiveness of such registration statement, but excluding, in each case, information “furnished” rather than “filed” and information that is modified or superseded by subsequently filed documents prior to the termination of this offering: </w:t>
      </w:r>
    </w:p>
    <w:p>
      <w:pPr>
        <w:pStyle w:val="TextBody"/>
        <w:bidi w:val="0"/>
        <w:spacing w:lineRule="atLeast" w:line="240" w:before="120" w:after="0"/>
        <w:ind w:left="2033" w:right="40" w:hanging="0"/>
        <w:jc w:val="left"/>
        <w:rPr/>
      </w:pPr>
      <w:hyperlink r:id="rId3">
        <w:r>
          <w:rPr>
            <w:rStyle w:val="InternetLink"/>
          </w:rPr>
          <w:t>our Annual Report on Form 10-K for the year ended December 31, 2025, filed with the SEC on March 2,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Quarterly Report on Form 10-Q for the quarter ended March 31, 2026, filed with the SEC on </w:t>
      </w:r>
      <w:hyperlink r:id="rId4">
        <w:r>
          <w:rPr>
            <w:rStyle w:val="InternetLink"/>
          </w:rPr>
          <w:t>April 30, 2026</w:t>
        </w:r>
      </w:hyperlink>
      <w:r>
        <w:rPr>
          <w:rFonts w:ascii="Times New Roman;Times;serif" w:hAnsi="Times New Roman;Times;serif"/>
          <w:b w:val="false"/>
          <w:i w:val="false"/>
          <w:caps w:val="false"/>
          <w:smallCaps w:val="false"/>
          <w:color w:val="000000"/>
          <w:spacing w:val="4"/>
          <w:sz w:val="20"/>
          <w:shd w:fill="FFFFFF" w:val="clear"/>
        </w:rPr>
        <w:t xml:space="preserve">; and our Quarterly Report on Form 10-Q for the quarter ended June 30, 2026, filed with the SEC on </w:t>
      </w:r>
      <w:hyperlink r:id="rId5">
        <w:r>
          <w:rPr>
            <w:rStyle w:val="InternetLink"/>
          </w:rPr>
          <w:t>July 30,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our Current Reports on Form 8-K filed with the SEC on </w:t>
      </w:r>
      <w:hyperlink r:id="rId6">
        <w:r>
          <w:rPr>
            <w:rStyle w:val="InternetLink"/>
          </w:rPr>
          <w:t>February 3,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7">
        <w:r>
          <w:rPr>
            <w:rStyle w:val="InternetLink"/>
          </w:rPr>
          <w:t>February 4,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8">
        <w:r>
          <w:rPr>
            <w:rStyle w:val="InternetLink"/>
          </w:rPr>
          <w:t>March 6,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9">
        <w:r>
          <w:rPr>
            <w:rStyle w:val="InternetLink"/>
          </w:rPr>
          <w:t>May 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0">
        <w:r>
          <w:rPr>
            <w:rStyle w:val="InternetLink"/>
          </w:rPr>
          <w:t>May 5,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1">
        <w:r>
          <w:rPr>
            <w:rStyle w:val="InternetLink"/>
          </w:rPr>
          <w:t>May 8,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2">
        <w:r>
          <w:rPr>
            <w:rStyle w:val="InternetLink"/>
          </w:rPr>
          <w:t>May 11,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3">
        <w:r>
          <w:rPr>
            <w:rStyle w:val="InternetLink"/>
          </w:rPr>
          <w:t>August 4,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common stock included in our Registration Statement on </w:t>
      </w:r>
      <w:hyperlink r:id="rId14">
        <w:r>
          <w:rPr>
            <w:rStyle w:val="InternetLink"/>
          </w:rPr>
          <w:t>Form 8-A</w:t>
        </w:r>
      </w:hyperlink>
      <w:r>
        <w:rPr>
          <w:rFonts w:ascii="Times New Roman;Times;serif" w:hAnsi="Times New Roman;Times;serif"/>
          <w:b w:val="false"/>
          <w:i w:val="false"/>
          <w:caps w:val="false"/>
          <w:smallCaps w:val="false"/>
          <w:color w:val="000000"/>
          <w:spacing w:val="4"/>
          <w:sz w:val="20"/>
          <w:shd w:fill="FFFFFF" w:val="clear"/>
        </w:rPr>
        <w:t xml:space="preserve">, dated May 16, 2016, and in </w:t>
      </w:r>
      <w:hyperlink r:id="rId15">
        <w:r>
          <w:rPr>
            <w:rStyle w:val="InternetLink"/>
          </w:rPr>
          <w:t>Exhibit 4.2</w:t>
        </w:r>
      </w:hyperlink>
      <w:r>
        <w:rPr>
          <w:rFonts w:ascii="Times New Roman;Times;serif" w:hAnsi="Times New Roman;Times;serif"/>
          <w:b w:val="false"/>
          <w:i w:val="false"/>
          <w:caps w:val="false"/>
          <w:smallCaps w:val="false"/>
          <w:color w:val="000000"/>
          <w:spacing w:val="4"/>
          <w:sz w:val="20"/>
          <w:shd w:fill="FFFFFF" w:val="clear"/>
        </w:rPr>
        <w:t xml:space="preserve"> of our Annual Report on Form 10-K for the year ended December 31, 2025, as filed with the SEC on March 2, 2026, including any other amendments or reports filed for the purpose of updating such description.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84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provide without charge, upon written or oral request, a copy of any or all of the documents that are incorporated by reference into this prospectus and a copy of any or all other contracts or documents which are referred to in this prospectus. Requests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Midland States Bancorp,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Attention: Corporate Secretary</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1201 Network Centre Drive</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Effingham, Illinois 62401</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Telephone number: (217) 342-7321</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PART II</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INFORMATION NOT REQUIRED IN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14.   Other Expenses of Issuance and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our estimated expenses to be incurred in connection with the issuance and distribution of the securities being registered, other than underwriting discounts and commissions. We will pay all of these expenses. </w:t>
      </w:r>
    </w:p>
    <w:tbl>
      <w:tblPr>
        <w:tblW w:w="5166" w:type="dxa"/>
        <w:jc w:val="left"/>
        <w:tblInd w:w="1433" w:type="dxa"/>
        <w:tblLayout w:type="fixed"/>
        <w:tblCellMar>
          <w:top w:w="0" w:type="dxa"/>
          <w:left w:w="0" w:type="dxa"/>
          <w:bottom w:w="0" w:type="dxa"/>
          <w:right w:w="0" w:type="dxa"/>
        </w:tblCellMar>
      </w:tblPr>
      <w:tblGrid>
        <w:gridCol w:w="124"/>
        <w:gridCol w:w="3220"/>
        <w:gridCol w:w="109"/>
        <w:gridCol w:w="109"/>
        <w:gridCol w:w="109"/>
        <w:gridCol w:w="226"/>
        <w:gridCol w:w="100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21,750*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Trustee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Rating Agency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Miscellaneous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0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06" w:type="dxa"/>
            <w:tcBorders/>
            <w:vAlign w:val="center"/>
          </w:tcPr>
          <w:p>
            <w:pPr>
              <w:pStyle w:val="TableContents"/>
              <w:bidi w:val="0"/>
              <w:spacing w:before="0" w:after="283"/>
              <w:jc w:val="right"/>
              <w:rPr/>
            </w:pPr>
            <w:r>
              <w:rPr/>
              <w:t>21,750**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 this amount, $12,514.50 was previously paid. </w:t>
      </w:r>
      <w:r>
        <mc:AlternateContent>
          <mc:Choice Requires="wps">
            <w:drawing>
              <wp:anchor behindDoc="0" distT="9779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fees are not presently known and cannot be estimated at this time, as they will be based upon, among other things, the amount and type of security being offered as well as the number of offerings. </w:t>
      </w:r>
      <w:r>
        <mc:AlternateContent>
          <mc:Choice Requires="wps">
            <w:drawing>
              <wp:anchor behindDoc="0" distT="4699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15.   Indemnification of Directors and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Section 8.75 of the IBCA, an Illinois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who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an Illinois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he or she reasonably believed to be in, or not opposed to, the best interests of the corporation, provided that no indemnification shall be made with respect to any claim, issue, or matter as to which such person has been adjudged to have been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8.75 of the IBCA also provides that, to the extent that a present or former director, officer or employee of a corporation has been successful, on the merits or otherwise, in the defense of any action, suit or proceeding referred to in either of the foregoing paragraphs, or in defense of any claim, issue or matter therein, such person shall be indemnified against expenses (including attorneys’ fees) actually and reasonably incurred by such person in connection therewith, if the person acted in good faith and in a manner he or she reasonably believed to be in, or not opposed to, the best interests of the corporation.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articles of incorporation and bylaws provide that, subject to the limits of applicable federal and state banking laws and regulations, we must indemnify each person who is or was a director or officer of ours and each person who serves or served at our request as a director, officer or partner of another enterprise in accordance with, and to the fullest extent authorized by, the IBCA, as the same now exists or may be amended in the future.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also obtained officers’ and directors’ liability insurance which insures against liabilities that officers and directors may, in such capacities, incur. Section 8.75 of the IBCA provides that an Illinois corporation may purchase and maintain insurance on behalf of any person who is or was a director, officer, employee or 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such person against such liability under the IBCA.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 is made to the form of underwriting agreement to be filed as Exhibit 1.1 hereto for provisions providing that the underwriters are obligated under certain circumstances to indemnify our directors, officers and controlling persons against certain liabilities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16.   Exhibits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881"/>
        <w:gridCol w:w="109"/>
        <w:gridCol w:w="109"/>
        <w:gridCol w:w="735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1" w:type="dxa"/>
            <w:tcBorders>
              <w:bottom w:val="single" w:sz="2" w:space="0" w:color="000000"/>
            </w:tcBorders>
            <w:tcMar>
              <w:bottom w:w="3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54" w:type="dxa"/>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Description of Exhibits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pPr>
            <w:hyperlink r:id="rId16">
              <w:r>
                <w:rPr>
                  <w:rStyle w:val="InternetLink"/>
                </w:rPr>
                <w:t>Articles of Incorporation of Midland States Bancorp, Inc., as amended (incorporated herein by reference to Exhibit 3.1 of the Company’s Annual Report on Form 10-K filed on February 23,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0"/>
              <w:jc w:val="left"/>
              <w:rPr/>
            </w:pPr>
            <w:hyperlink r:id="rId17">
              <w:r>
                <w:rPr>
                  <w:rStyle w:val="InternetLink"/>
                  <w:spacing w:val="4"/>
                </w:rPr>
                <w:t>By-laws of Midland States Bancorp, Inc. (incorporated herein by reference to Exhibit 3.2 of the Company’s Registration on Form S-1 filed on April 11, 2016)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Statement of Resolution of Preferred Stock and form of Preferred Stock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Warrant and Warrant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0"/>
              <w:jc w:val="left"/>
              <w:rPr/>
            </w:pPr>
            <w:hyperlink r:id="rId18">
              <w:r>
                <w:rPr>
                  <w:rStyle w:val="InternetLink"/>
                  <w:spacing w:val="4"/>
                </w:rPr>
                <w:t>Form of Indenture (incorporated herein by reference to Exhibit 4.3 of the Company’s Registration Statement on Form S-3 filed on August 28,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Senior Debt Security.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Subordinated Debt Security.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Unit Agreement and Unit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Deposit Agreement (together with form of depositary receipt)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pPr>
            <w:hyperlink r:id="rId19">
              <w:r>
                <w:rPr>
                  <w:rStyle w:val="InternetLink"/>
                </w:rPr>
                <w:t>Deposit Agreement, dated as of August 24, 2022, by and among Midland States Bancorp, Inc., Computershare Inc., Computershare Trust Company, N.A. and the holders from time to time of the Series A depositary receipts described therein (incorporated by reference to Exhibit 4.1 to the Company’s Current Report on Form 8-K filed with the SEC on August 24,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Form of depositary receipt representing the Series A depositary shares (included as Exhibit A to Exhibit 4.8 hereto)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pPr>
            <w:r>
              <w:rPr>
                <w:spacing w:val="4"/>
              </w:rPr>
              <w:t>The other instruments defining the rights of holders of the long-term debt securities of the Company and its subsidiaries are omitted pursuant to Section (b)(4)(iii)(A) of Item 601 of Regulation S-K. The Company hereby agrees to furnish copies of these instruments to the SEC upon request.</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0"/>
              <w:jc w:val="left"/>
              <w:rPr/>
            </w:pPr>
            <w:hyperlink w:anchor="tm2626960d2_ex5-1.htm">
              <w:r>
                <w:rPr>
                  <w:rStyle w:val="InternetLink"/>
                  <w:spacing w:val="4"/>
                </w:rPr>
                <w:t xml:space="preserve">Opinion of Barack Ferrazzano Kirschbaum &amp; Nagelberg LLP.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0"/>
              <w:jc w:val="left"/>
              <w:rPr/>
            </w:pPr>
            <w:hyperlink w:anchor="tm2626960d2_ex23-1.htm">
              <w:r>
                <w:rPr>
                  <w:rStyle w:val="InternetLink"/>
                  <w:spacing w:val="4"/>
                </w:rPr>
                <w:t xml:space="preserve">Consent of Crowe LLP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0"/>
              <w:jc w:val="left"/>
              <w:rPr/>
            </w:pPr>
            <w:hyperlink w:anchor="tm2626960d2_ex5-1.htm">
              <w:r>
                <w:rPr>
                  <w:rStyle w:val="InternetLink"/>
                  <w:spacing w:val="4"/>
                </w:rPr>
                <w:t xml:space="preserve">Consent of Barack Ferrazzano Kirschbaum &amp; Nagelberg LLP (included in Exhibit 5.1).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0"/>
              <w:jc w:val="left"/>
              <w:rPr/>
            </w:pPr>
            <w:hyperlink w:anchor="tSIGS2">
              <w:r>
                <w:rPr>
                  <w:rStyle w:val="InternetLink"/>
                  <w:spacing w:val="4"/>
                </w:rPr>
                <w:t>Power of Attorney (included on the signature page to the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ind w:left="100" w:right="0" w:hanging="0"/>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283"/>
              <w:jc w:val="left"/>
              <w:rPr>
                <w:spacing w:val="4"/>
              </w:rPr>
            </w:pPr>
            <w:r>
              <w:rPr>
                <w:spacing w:val="4"/>
              </w:rPr>
              <w:t xml:space="preserve">Statement of Eligibility of Trustee on Form T-1 for the Senior Indenture and Subordinated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54" w:type="dxa"/>
            <w:tcBorders/>
            <w:tcMar>
              <w:bottom w:w="0" w:type="dxa"/>
            </w:tcMar>
            <w:vAlign w:val="center"/>
          </w:tcPr>
          <w:p>
            <w:pPr>
              <w:pStyle w:val="TableContents"/>
              <w:bidi w:val="0"/>
              <w:spacing w:before="0" w:after="0"/>
              <w:jc w:val="left"/>
              <w:rPr/>
            </w:pPr>
            <w:hyperlink w:anchor="tm2626960d2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filed by amendment or as an exhibit to a document incorporated by reference herein. </w:t>
      </w:r>
      <w:r>
        <mc:AlternateContent>
          <mc:Choice Requires="wps">
            <w:drawing>
              <wp:anchor behindDoc="0" distT="9779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filed separately under the electronic form type “305B2” pursuant to Section 305(b)(2) of the Trust Indenture Act of 1939, as amended, if applicable. </w:t>
      </w:r>
      <w:r>
        <mc:AlternateContent>
          <mc:Choice Requires="wps">
            <w:drawing>
              <wp:anchor behindDoc="0" distT="4699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Schedules and/or exhibits to this Exhibit have been omitted pursuant to Item 601(b)(2) of Regulation S-K. The Company agrees to furnish a copy of any omitted schedule or exhibit to the SEC upon request. </w:t>
      </w:r>
      <w:r>
        <mc:AlternateContent>
          <mc:Choice Requires="wps">
            <w:drawing>
              <wp:anchor behindDoc="0" distT="4699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17.   Undertakings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undersigned registrant hereby undertakes: </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file, during any period in which offers or sales are being made, a post-effective amendment to this registration statement: </w:t>
      </w:r>
      <w:r>
        <mc:AlternateContent>
          <mc:Choice Requires="wps">
            <w:drawing>
              <wp:anchor behindDoc="0" distT="97790"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include any prospectus required by Section 10(a)(3) of the Securities Act; </w:t>
      </w:r>
      <w:r>
        <mc:AlternateContent>
          <mc:Choice Requires="wps">
            <w:drawing>
              <wp:anchor behindDoc="0" distT="97790" distB="0" distL="508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r>
        <mc:AlternateContent>
          <mc:Choice Requires="wps">
            <w:drawing>
              <wp:anchor behindDoc="0" distT="97790" distB="0" distL="508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include any material information with respect to the plan of distribution not previously disclosed in this registration statement or any material change to such information in this registration statement; </w:t>
      </w:r>
      <w:r>
        <mc:AlternateContent>
          <mc:Choice Requires="wps">
            <w:drawing>
              <wp:anchor behindDoc="0" distT="97790" distB="0" distL="508000" distR="0" simplePos="0" locked="0" layoutInCell="1" allowOverlap="1" relativeHeight="164">
                <wp:simplePos x="0" y="0"/>
                <wp:positionH relativeFrom="column">
                  <wp:align>left</wp:align>
                </wp:positionH>
                <wp:positionV relativeFrom="line">
                  <wp:align>top</wp:align>
                </wp:positionV>
                <wp:extent cx="254000" cy="525780"/>
                <wp:effectExtent l="0" t="0" r="0" b="0"/>
                <wp:wrapSquare wrapText="right"/>
                <wp:docPr id="162" name="Frame1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provided, however, that paragraphs (1)(i), (1)(ii) and (1)(iii)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9906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remove from registration by means of a post-effective amendment any of the securities being registered which remain unsold at the termination of the offering. </w:t>
      </w:r>
      <w:r>
        <mc:AlternateContent>
          <mc:Choice Requires="wps">
            <w:drawing>
              <wp:anchor behindDoc="0" distT="9906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the purpose of determining liability under the Securities Act to any purchaser: </w:t>
      </w:r>
      <w:r>
        <mc:AlternateContent>
          <mc:Choice Requires="wps">
            <w:drawing>
              <wp:anchor behindDoc="0" distT="9906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99060" distB="0" distL="508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w:t>
      </w:r>
      <w:r>
        <mc:AlternateContent>
          <mc:Choice Requires="wps">
            <w:drawing>
              <wp:anchor behindDoc="0" distT="99060" distB="0" distL="508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8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preliminary prospectus or prospectus of the undersigned registrant relating to the offering required to be filed pursuant to Rule 424; </w:t>
      </w:r>
      <w:r>
        <mc:AlternateContent>
          <mc:Choice Requires="wps">
            <w:drawing>
              <wp:anchor behindDoc="0" distT="101600" distB="0" distL="508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508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508000" distR="0" simplePos="0" locked="0" layoutInCell="1" allowOverlap="1" relativeHeight="173">
                <wp:simplePos x="0" y="0"/>
                <wp:positionH relativeFrom="column">
                  <wp:align>left</wp:align>
                </wp:positionH>
                <wp:positionV relativeFrom="line">
                  <wp:align>top</wp:align>
                </wp:positionV>
                <wp:extent cx="254000" cy="525780"/>
                <wp:effectExtent l="0" t="0" r="0" b="0"/>
                <wp:wrapSquare wrapText="right"/>
                <wp:docPr id="171" name="Frame1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174">
                <wp:simplePos x="0" y="0"/>
                <wp:positionH relativeFrom="column">
                  <wp:align>left</wp:align>
                </wp:positionH>
                <wp:positionV relativeFrom="line">
                  <wp:align>top</wp:align>
                </wp:positionV>
                <wp:extent cx="254000" cy="525780"/>
                <wp:effectExtent l="0" t="0" r="0" b="0"/>
                <wp:wrapSquare wrapText="right"/>
                <wp:docPr id="172" name="Frame1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file an application for the purpose of determining the eligibility of the trustee to act under subsection (a) of Section 310 of the Trust Indenture Act in accordance with the rules and regulations prescribed by the SEC under Section 305(b)(2) of the Trust Indenture Act. </w:t>
      </w:r>
      <w:r>
        <mc:AlternateContent>
          <mc:Choice Requires="wps">
            <w:drawing>
              <wp:anchor behindDoc="0" distT="10160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Insofar as indemnification for liabilities arising under the Securities Act may be permitted to directors, officers and controlling persons of the registrant pursuant to the indemnification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SIGS2"/>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Effingham, state of Illinois, on the 6th day of October, 2026. </w:t>
      </w:r>
    </w:p>
    <w:p>
      <w:pPr>
        <w:pStyle w:val="TextBody"/>
        <w:bidi w:val="0"/>
        <w:spacing w:lineRule="atLeast" w:line="240" w:before="3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MIDLAND STATES BANCORP,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340" w:after="0"/>
        <w:ind w:left="62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Jeffrey G. Ludwig</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215900" distB="0" distL="2794000" distR="0" simplePos="0" locked="0" layoutInCell="1" allowOverlap="1" relativeHeight="177">
                <wp:simplePos x="0" y="0"/>
                <wp:positionH relativeFrom="column">
                  <wp:align>left</wp:align>
                </wp:positionH>
                <wp:positionV relativeFrom="line">
                  <wp:align>top</wp:align>
                </wp:positionV>
                <wp:extent cx="254000" cy="525780"/>
                <wp:effectExtent l="0" t="0" r="0" b="0"/>
                <wp:wrapSquare wrapText="right"/>
                <wp:docPr id="175" name="Frame1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center"/>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6.9pt;mso-position-horizontal:left;mso-position-horizontal-relative:text">
                <v:textbox>
                  <w:txbxContent>
                    <w:p>
                      <w:pPr>
                        <w:pStyle w:val="TextBody"/>
                        <w:bidi w:val="0"/>
                        <w:spacing w:lineRule="atLeast" w:line="240" w:before="0" w:after="283"/>
                        <w:jc w:val="center"/>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283"/>
        <w:ind w:left="62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Jeffrey G. Ludwig</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Chief Executive Officer and President</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person whose signature appears below hereby constitutes and appoints each of Jeffrey G. Ludwig and Claire A. Stack, his or her true and lawful attorney-in-fact and agent, acting alone, with full power of substitution and resubstitution, to sign on his or her behalf, individually and in each capacity stated below, all amendments and post-effective amendments to this registration statement on Form S-3 (including any registration statement filed pursuant to Rule 462(b) under the Securities Act, and all amendments thereto) and to file the same, with all exhibits thereto and any other documents in connection therewith, with the SEC under the Securities Act, granting unto said attorneys-in-fact and agents full power and authority to do and perform each and every act and thing requisite and necessary to be done in and about the premises, as fully and to all intents and purposes as each might or could do in person, hereby ratifying and confirming each act that said attorneys-in-fact and agents may lawfully do or cause to be done by virtue thereof.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this registration statement has been signed below by the following persons in the capacities indicated on October 6, 2026. </w:t>
      </w:r>
    </w:p>
    <w:tbl>
      <w:tblPr>
        <w:tblW w:w="8732" w:type="dxa"/>
        <w:jc w:val="left"/>
        <w:tblInd w:w="1433" w:type="dxa"/>
        <w:tblLayout w:type="fixed"/>
        <w:tblCellMar>
          <w:top w:w="0" w:type="dxa"/>
          <w:left w:w="0" w:type="dxa"/>
          <w:bottom w:w="28" w:type="dxa"/>
          <w:right w:w="0" w:type="dxa"/>
        </w:tblCellMar>
      </w:tblPr>
      <w:tblGrid>
        <w:gridCol w:w="124"/>
        <w:gridCol w:w="1989"/>
        <w:gridCol w:w="109"/>
        <w:gridCol w:w="109"/>
        <w:gridCol w:w="624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8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4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0"/>
              <w:jc w:val="center"/>
              <w:rPr/>
            </w:pPr>
            <w:r>
              <w:rPr>
                <w:spacing w:val="4"/>
              </w:rPr>
              <w:t>/s/ Jeffrey C. Smith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Jeffrey C. Smith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6" w:type="dxa"/>
            <w:tcBorders/>
            <w:tcMar>
              <w:bottom w:w="0" w:type="dxa"/>
            </w:tcMar>
            <w:vAlign w:val="center"/>
          </w:tcPr>
          <w:p>
            <w:pPr>
              <w:pStyle w:val="TableContents"/>
              <w:bidi w:val="0"/>
              <w:spacing w:before="0" w:after="0"/>
              <w:jc w:val="center"/>
              <w:rPr>
                <w:spacing w:val="4"/>
              </w:rPr>
            </w:pPr>
            <w:r>
              <w:rPr>
                <w:spacing w:val="4"/>
              </w:rPr>
              <w:t xml:space="preserve">Chairman of the Board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0"/>
              <w:jc w:val="center"/>
              <w:rPr/>
            </w:pPr>
            <w:r>
              <w:rPr>
                <w:spacing w:val="4"/>
              </w:rPr>
              <w:t>/s/ Jeffrey G. Ludwig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Jeffrey G. Ludwig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6" w:type="dxa"/>
            <w:tcBorders/>
            <w:tcMar>
              <w:bottom w:w="0" w:type="dxa"/>
            </w:tcMar>
            <w:vAlign w:val="center"/>
          </w:tcPr>
          <w:p>
            <w:pPr>
              <w:pStyle w:val="TableContents"/>
              <w:bidi w:val="0"/>
              <w:spacing w:before="0" w:after="0"/>
              <w:jc w:val="center"/>
              <w:rPr>
                <w:spacing w:val="4"/>
              </w:rPr>
            </w:pPr>
            <w:r>
              <w:rPr>
                <w:spacing w:val="4"/>
              </w:rPr>
              <w:t xml:space="preserve">President, Chief Executive Officer and Vice Chairman (principal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0"/>
              <w:jc w:val="center"/>
              <w:rPr/>
            </w:pPr>
            <w:r>
              <w:rPr>
                <w:spacing w:val="4"/>
              </w:rPr>
              <w:t>/s/ Claire A. Stack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Claire A. Stack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6" w:type="dxa"/>
            <w:tcBorders/>
            <w:tcMar>
              <w:bottom w:w="0" w:type="dxa"/>
            </w:tcMar>
            <w:vAlign w:val="center"/>
          </w:tcPr>
          <w:p>
            <w:pPr>
              <w:pStyle w:val="TableContents"/>
              <w:bidi w:val="0"/>
              <w:spacing w:before="0" w:after="0"/>
              <w:jc w:val="center"/>
              <w:rPr>
                <w:spacing w:val="4"/>
              </w:rPr>
            </w:pPr>
            <w:r>
              <w:rPr>
                <w:spacing w:val="4"/>
              </w:rPr>
              <w:t xml:space="preserve">Chief Financial Officer (principal financial officer, principal accounting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0"/>
              <w:jc w:val="center"/>
              <w:rPr/>
            </w:pPr>
            <w:r>
              <w:rPr>
                <w:spacing w:val="4"/>
              </w:rPr>
              <w:t>/s/ R. Dean Bingham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R. Dean Bingham</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6"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0"/>
              <w:jc w:val="center"/>
              <w:rPr/>
            </w:pPr>
            <w:r>
              <w:rPr>
                <w:spacing w:val="4"/>
              </w:rPr>
              <w:t>/s/ Gerald J. Carlson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Gerald J. Carlson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6"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0"/>
              <w:jc w:val="center"/>
              <w:rPr/>
            </w:pPr>
            <w:r>
              <w:rPr>
                <w:spacing w:val="4"/>
              </w:rPr>
              <w:t>/s/ James F. Deutsch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James F. Deutsch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6"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0"/>
              <w:jc w:val="center"/>
              <w:rPr/>
            </w:pPr>
            <w:r>
              <w:rPr>
                <w:spacing w:val="4"/>
              </w:rPr>
              <w:t>/s/ Jennifer L. DiMotta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Jennifer L. DiMotta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6"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4089" w:type="dxa"/>
        <w:jc w:val="left"/>
        <w:tblInd w:w="1433" w:type="dxa"/>
        <w:tblLayout w:type="fixed"/>
        <w:tblCellMar>
          <w:top w:w="0" w:type="dxa"/>
          <w:left w:w="0" w:type="dxa"/>
          <w:bottom w:w="28" w:type="dxa"/>
          <w:right w:w="0" w:type="dxa"/>
        </w:tblCellMar>
      </w:tblPr>
      <w:tblGrid>
        <w:gridCol w:w="124"/>
        <w:gridCol w:w="2619"/>
        <w:gridCol w:w="109"/>
        <w:gridCol w:w="109"/>
        <w:gridCol w:w="97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19" w:type="dxa"/>
            <w:tcBorders/>
            <w:tcMar>
              <w:bottom w:w="0" w:type="dxa"/>
            </w:tcMar>
            <w:vAlign w:val="center"/>
          </w:tcPr>
          <w:p>
            <w:pPr>
              <w:pStyle w:val="TableContents"/>
              <w:bidi w:val="0"/>
              <w:spacing w:before="0" w:after="0"/>
              <w:jc w:val="center"/>
              <w:rPr/>
            </w:pPr>
            <w:r>
              <w:rPr>
                <w:spacing w:val="4"/>
              </w:rPr>
              <w:t>/s/ Travis J. Franklin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Travis J. Franklin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19" w:type="dxa"/>
            <w:tcBorders/>
            <w:tcMar>
              <w:bottom w:w="0" w:type="dxa"/>
            </w:tcMar>
            <w:vAlign w:val="center"/>
          </w:tcPr>
          <w:p>
            <w:pPr>
              <w:pStyle w:val="TableContents"/>
              <w:bidi w:val="0"/>
              <w:spacing w:before="0" w:after="0"/>
              <w:jc w:val="center"/>
              <w:rPr/>
            </w:pPr>
            <w:r>
              <w:rPr>
                <w:spacing w:val="4"/>
              </w:rPr>
              <w:t>/s/ Jerry L. McDaniel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Jerry L. McDaniel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19" w:type="dxa"/>
            <w:tcBorders/>
            <w:tcMar>
              <w:bottom w:w="0" w:type="dxa"/>
            </w:tcMar>
            <w:vAlign w:val="center"/>
          </w:tcPr>
          <w:p>
            <w:pPr>
              <w:pStyle w:val="TableContents"/>
              <w:bidi w:val="0"/>
              <w:spacing w:before="0" w:after="0"/>
              <w:jc w:val="center"/>
              <w:rPr/>
            </w:pPr>
            <w:r>
              <w:rPr>
                <w:spacing w:val="4"/>
              </w:rPr>
              <w:t>/s/ Jeffrey M. McDonnell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Jeffrey M. McDonnell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19" w:type="dxa"/>
            <w:tcBorders/>
            <w:tcMar>
              <w:bottom w:w="0" w:type="dxa"/>
            </w:tcMar>
            <w:vAlign w:val="center"/>
          </w:tcPr>
          <w:p>
            <w:pPr>
              <w:pStyle w:val="TableContents"/>
              <w:bidi w:val="0"/>
              <w:spacing w:before="0" w:after="0"/>
              <w:jc w:val="center"/>
              <w:rPr/>
            </w:pPr>
            <w:r>
              <w:rPr>
                <w:spacing w:val="4"/>
              </w:rPr>
              <w:t>/s/ Richard T. Ramos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Richard T. Ramos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19" w:type="dxa"/>
            <w:tcBorders/>
            <w:tcMar>
              <w:bottom w:w="0" w:type="dxa"/>
            </w:tcMar>
            <w:vAlign w:val="center"/>
          </w:tcPr>
          <w:p>
            <w:pPr>
              <w:pStyle w:val="TableContents"/>
              <w:bidi w:val="0"/>
              <w:spacing w:before="0" w:after="0"/>
              <w:jc w:val="center"/>
              <w:rPr/>
            </w:pPr>
            <w:r>
              <w:rPr>
                <w:spacing w:val="4"/>
              </w:rPr>
              <w:t>/s/ Robert F. Schultz</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Robert F. Schultz</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ind w:left="40" w:right="40" w:hanging="0"/>
        <w:jc w:val="left"/>
        <w:rPr/>
      </w:pPr>
      <w:bookmarkStart w:id="19" w:name="tm2626960d2_ex5-1.htm"/>
      <w:bookmarkStart w:id="20" w:name="kstm2626960d2_ex51"/>
      <w:bookmarkEnd w:id="19"/>
      <w:bookmarkEnd w:id="2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47850" cy="647700"/>
            <wp:effectExtent l="0" t="0" r="0" b="0"/>
            <wp:docPr id="17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 descr=""/>
                    <pic:cNvPicPr>
                      <a:picLocks noChangeAspect="1" noChangeArrowheads="1"/>
                    </pic:cNvPicPr>
                  </pic:nvPicPr>
                  <pic:blipFill>
                    <a:blip r:embed="rId20"/>
                    <a:stretch>
                      <a:fillRect/>
                    </a:stretch>
                  </pic:blipFill>
                  <pic:spPr bwMode="auto">
                    <a:xfrm>
                      <a:off x="0" y="0"/>
                      <a:ext cx="1847850" cy="6477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States Bancorp,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Network Centre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Effingham, Illinois 62401</w:t>
      </w:r>
    </w:p>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38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Re:</w:t>
            </w:r>
          </w:p>
        </w:tc>
        <w:tc>
          <w:tcPr>
            <w:tcW w:w="6995" w:type="dxa"/>
            <w:tcBorders/>
            <w:vAlign w:val="center"/>
          </w:tcPr>
          <w:p>
            <w:pPr>
              <w:pStyle w:val="TableContents"/>
              <w:bidi w:val="0"/>
              <w:spacing w:before="0" w:after="283"/>
              <w:jc w:val="both"/>
              <w:rPr>
                <w:b/>
              </w:rPr>
            </w:pPr>
            <w:r>
              <w:rPr>
                <w:b/>
              </w:rPr>
              <w:t>Registration Statement on Form S-3 of Midland States Bancorp,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rendered to you in connection with the filing by Midland States Bancorp, Inc., an Illinois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of the Company’s registration statement on Form S-3 (the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The Registration Statement relates to the registration and proposed issuance and sale by the Company from time to time pursuant to Rule 415 under the Act of up to an aggregate offering price of $250,000,000.00 of shares of common stock, $0.01 par value per share, of the Company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shares of non-voting common stock, $0.01 par value per share, of the Company (the “</w:t>
      </w:r>
      <w:r>
        <w:rPr>
          <w:rFonts w:ascii="Times New Roman;Times;Serif" w:hAnsi="Times New Roman;Times;Serif"/>
          <w:b w:val="false"/>
          <w:i/>
          <w:caps w:val="false"/>
          <w:smallCaps w:val="false"/>
          <w:sz w:val="20"/>
        </w:rPr>
        <w:t>Non-Voting Common Stock</w:t>
      </w:r>
      <w:r>
        <w:rPr>
          <w:rFonts w:ascii="Times New Roman;Times;Serif" w:hAnsi="Times New Roman;Times;Serif"/>
          <w:b w:val="false"/>
          <w:i w:val="false"/>
          <w:caps w:val="false"/>
          <w:smallCaps w:val="false"/>
          <w:sz w:val="20"/>
        </w:rPr>
        <w:t>”), shares of preferred stock, $2.00 par value per share, of the Company (the “</w:t>
      </w: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depositary shares representing a fractional interest in shares of Preferred Stock (the “</w:t>
      </w:r>
      <w:r>
        <w:rPr>
          <w:rFonts w:ascii="Times New Roman;Times;Serif" w:hAnsi="Times New Roman;Times;Serif"/>
          <w:b w:val="false"/>
          <w:i/>
          <w:caps w:val="false"/>
          <w:smallCaps w:val="false"/>
          <w:sz w:val="20"/>
        </w:rPr>
        <w:t>Depositary Shares</w:t>
      </w:r>
      <w:r>
        <w:rPr>
          <w:rFonts w:ascii="Times New Roman;Times;Serif" w:hAnsi="Times New Roman;Times;Serif"/>
          <w:b w:val="false"/>
          <w:i w:val="false"/>
          <w:caps w:val="false"/>
          <w:smallCaps w:val="false"/>
          <w:sz w:val="20"/>
        </w:rPr>
        <w:t>”), the Company’s debt securities, whether senior or subordinated (the “</w:t>
      </w:r>
      <w:r>
        <w:rPr>
          <w:rFonts w:ascii="Times New Roman;Times;Serif" w:hAnsi="Times New Roman;Times;Serif"/>
          <w:b w:val="false"/>
          <w:i/>
          <w:caps w:val="false"/>
          <w:smallCaps w:val="false"/>
          <w:sz w:val="20"/>
        </w:rPr>
        <w:t>Debt Securities</w:t>
      </w:r>
      <w:r>
        <w:rPr>
          <w:rFonts w:ascii="Times New Roman;Times;Serif" w:hAnsi="Times New Roman;Times;Serif"/>
          <w:b w:val="false"/>
          <w:i w:val="false"/>
          <w:caps w:val="false"/>
          <w:smallCaps w:val="false"/>
          <w:sz w:val="20"/>
        </w:rPr>
        <w:t>”), warrants to purchase Common Stock, Non-Voting Common Stock, Preferred Stock, Depositary Shares, Debt Securities or other securities of the Company (the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and units comprised of one or more of the Common Stock, the Non-Voting Common Stock, the Preferred Stock, Depositary Shares, Debt Securities or Warrants in any combination, including guarantees of any securities (the “</w:t>
      </w:r>
      <w:r>
        <w:rPr>
          <w:rFonts w:ascii="Times New Roman;Times;Serif" w:hAnsi="Times New Roman;Times;Serif"/>
          <w:b w:val="false"/>
          <w:i/>
          <w:caps w:val="false"/>
          <w:smallCaps w:val="false"/>
          <w:sz w:val="20"/>
        </w:rPr>
        <w:t>Units</w:t>
      </w:r>
      <w:r>
        <w:rPr>
          <w:rFonts w:ascii="Times New Roman;Times;Serif" w:hAnsi="Times New Roman;Times;Serif"/>
          <w:b w:val="false"/>
          <w:i w:val="false"/>
          <w:caps w:val="false"/>
          <w:smallCaps w:val="false"/>
          <w:sz w:val="20"/>
        </w:rPr>
        <w:t>” and, together with the Common Stock, the Non-Voting Common Stock, the Preferred Stock, the Depositary Shares, the Debt Securities and the Warrants, the “</w:t>
      </w:r>
      <w:r>
        <w:rPr>
          <w:rFonts w:ascii="Times New Roman;Times;Serif" w:hAnsi="Times New Roman;Times;Serif"/>
          <w:b w:val="false"/>
          <w:i/>
          <w:caps w:val="false"/>
          <w:smallCaps w:val="false"/>
          <w:sz w:val="20"/>
        </w:rPr>
        <w:t>Registered Securities</w:t>
      </w:r>
      <w:r>
        <w:rPr>
          <w:rFonts w:ascii="Times New Roman;Times;Serif" w:hAnsi="Times New Roman;Times;Serif"/>
          <w:b w:val="false"/>
          <w:i w:val="false"/>
          <w:caps w:val="false"/>
          <w:smallCaps w:val="false"/>
          <w:sz w:val="20"/>
        </w:rPr>
        <w:t>”). This opinion is being furnished in accordance with the requirements of Item 601(b)(5) of Regulation S-K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such certificates, instruments and documents as we deemed necessary for purposes of the opinions hereafter expressed. In such examination, we have assumed the genuineness of all signatures, the proper execution of all documents submitted to us as originals, the conformity to the original documents of all documents submitted to us as copies and the authenticity of the originals of such copies. As to matters of fact, we have relied upon representations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Barack Ferrazzano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Madison Street, Suite 3900 | Chicago, Illinois 60606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312.984.3100 | F. 312.984.3150 | </w:t>
      </w:r>
      <w:r>
        <w:rPr>
          <w:rFonts w:ascii="Times New Roman;Times;Serif" w:hAnsi="Times New Roman;Times;Serif"/>
          <w:b w:val="false"/>
          <w:i w:val="false"/>
          <w:caps w:val="false"/>
          <w:smallCaps w:val="false"/>
          <w:sz w:val="20"/>
          <w:u w:val="single"/>
        </w:rPr>
        <w:t>bfkn.com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States Bancorp,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are subject to the following assumptions, qualifications and limitations being true and correct at or before the time of the delivery of any Registered Securities offered pursuant to the Registration Statement: (A) the Board of Directors of the Company (the “</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including any appropriate committee appointed thereby, and appropriate officers of the Company shall have (i) duly established the terms of any Preferred Stock, Depositary Shares, Debt Securities, Warrants or Units being offered (and in the case of the Warrants or the Units, any such Registered Securities that are issuable upon exercise thereof or components thereof), (ii) duly authorized and taken any other necessary corporate or other action to approve the creation, if applicable, issuance and sale of the Registered Securities and related matters, and (iii) duly reserved for issuance any Registered Securities consisting of Common Stock, Non-Voting Common Stock or Preferred Stock, and any Common Stock, Non-Voting Common Stock or Preferred Stock for or into which any other Registered Securities are exercisable, exchangeable or convertible, and, in the case of all of (i) through (iii), such authorizations and actions shall remain in effect and unchanged at all times during which the Registered Securities are offered, sold or issued by the Company; (B) the definitive terms of each class and series, if applicable, of the Registered Securities, and the terms of the issuance and sale of the Registered Securities (i) shall have been duly established in accordance with all applicable law and the Company’s articles of incorporation and by-laws, any deposit agreement, indenture, warrant agreement, unit agreement and any other relevant agreement relating to the terms and the offer and sale of the Registered Securities (collectively, the “</w:t>
      </w:r>
      <w:r>
        <w:rPr>
          <w:rFonts w:ascii="Times New Roman;Times;Serif" w:hAnsi="Times New Roman;Times;Serif"/>
          <w:b w:val="false"/>
          <w:i/>
          <w:caps w:val="false"/>
          <w:smallCaps w:val="false"/>
          <w:sz w:val="20"/>
        </w:rPr>
        <w:t>Documents</w:t>
      </w:r>
      <w:r>
        <w:rPr>
          <w:rFonts w:ascii="Times New Roman;Times;Serif" w:hAnsi="Times New Roman;Times;Serif"/>
          <w:b w:val="false"/>
          <w:i w:val="false"/>
          <w:caps w:val="false"/>
          <w:smallCaps w:val="false"/>
          <w:sz w:val="20"/>
        </w:rPr>
        <w:t>”), and the authorizing resolutions of the Board or the applicable committee of the Board, and (ii) shall not violate any applicable law or any Documents (subject to the further assumption that such Documents have not been amended from the date hereof in a manner that would affect the validity of any of the opinions rendered herein), or result in a default under or breach of any agreement or instrument binding upon the Company and so as to comply with any restriction imposed by any court or governmental body having jurisdiction over the Company; (C) any Document relating to the terms of the Registered Securities (but excluding any Document relating to the terms of the Depositary Shares or the Debt Securities) shall be governed by and construed in accordance with the internal laws of the State of Illinois; (D) any Document relating to the terms of the Depositary Shares or the Debt Securities shall be governed by and construed in accordance with the internal laws of the State of New York; (E) upon issuance of any shares of Common Stock, Non-Voting Common Stock or Preferred Stock, including as a component of Units or upon exercise, conversion or exchange of other Registered Securities, (i) the total number of shares of Common Stock, Non-Voting Common Stock or Preferred Stock issued and outstanding shall not exceed the total number of shares of Common Stock, Non-Voting Common Stock or Preferred Stock that the Company is then authorized to issue under its articles of incorporation, and (ii) the Company will receive consideration in an amount not less than the aggregate par value of such shares of Common Stock, Non-Voting Common Stock or Preferred Stock; (F) the Registered Securities (including any Registered Securities issuable upon exercise, conversion or exchange of other Registered Securities and, in the case of the Units, the Registered Securities that are components thereof), and any certificates representing the relevant Registered Securities (including any Registered Securities issuable upon exercise, conversion or exchange of other Registered Securities and, in the case of the Units, the Registered Securities that are components thereof), shall have been duly authenticated, executed, countersigned, registered and delivered upon payment of the agreed-upon legal consideration therefor and shall have been duly issued and sold in accordance with any relevant agreement, and, if applicable, duly executed and delivered by the Company and any other appropriate party; (G) each applicable Document and any other relevant agreement relating to the offer and sale of the Registered Securities shall have been duly authorized, executed and delivered by the Company and each other party thereto, and shall constitute a valid and binding obligation of each party thereto (other than the Company); (H) the Registration Statement, and any amendments thereto (including post-effective amendments), shall have been declared effective under the Act, and such effectiveness shall not have been terminated or rescinded; (I) a prospectus supplement, if required, shall have been prepared, delivered and filed in compliance with the Act and the applicable rules and regulations thereunder describing the Registered Securities offered thereby; (J) the Registered Securities shall have been issued and sold in compliance with applicable U.S. federal and state securities laws and solely in the manner stated in the Registration Statement and any applicable prospectus supplement; and (K) in the case of an agreement or instrument pursuant to which any Registered Securities are to be issued, there shall be no terms or provisions contained therein which would affect the validity of any of the opinions rendered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States Bancorp,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set forth herein, it is our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Common Stock to be issued and sold by the Company, when (a) duly issued and sold in accordance with the Registration Statement and applicable prospectus supplement and either (i) in accordance with the provisions of an applicable, valid and binding purchase agreement, underwriting agreement or other similar agreement or (ii) upon exercise of Warrants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Non-Voting Common Stock to be issued and sold by the Company, when (a) duly issued and sold in accordance with the Registration Statement and applicable prospectus supplement and either (i) in accordance with the provisions of an applicable, valid and binding purchase agreement, underwriting agreement or other similar agreement or (ii) upon exercise of Warrants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Preferred Stock, when (a) duly issued and sold in accordance with the Registration Statement and applicable prospectus supplement and either (i) in accordance with the provisions of an applicable, valid and binding purchase agreement, underwriting agreement or other similar agreement or (ii) upon exercise of Warrants as contemplated by the Registration Statement and applicable prospectus supplement and (b) delivered to the purchaser or purchasers thereof against receipt by the Company of such lawful consideration therefor as the Board (or a duly authorized committee thereof) may determine,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States Bancorp,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Depositary Shares when (a) duly executed, authenticated, issued and sold in accordance with the Registration Statement and applicable prospectus supplement and the provisions of an applicable, valid and binding deposit agreement or other similar agreement, (b) shares of the Preferred Stock relating to any Depositary Shares have been deposited with the depositary therefor, (c) any depositary receipts representing Depositary Shares have been duly executed, authenticated, issued and sold in the manner and for the consideration stated in the applicable deposit agreement and (d) delivered to the purchaser or purchasers thereof against receipt by the Company of such lawful consideration therefor as the Board (or a duly authorized committee thereof) may determine, will be validly issued and entitle their holders to the rights specified in the deposit agreement and the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Debt Securities, when (a) duly executed, authenticated, issued and sold in accordance with the Registration Statement and applicable prospectus supplement and either (i) in accordance with the provisions of an applicable purchase agreement, underwriting agreement, indenture or other similar agreement or (ii) upon exercise of Warrants as contemplated by the Registration Statement and applicable prospectus supplement and (b) delivered to the purchaser or purchasers thereof against receipt by the Company of such lawful consideration therefor, if any, as the Board (or a duly authorized committee thereof) may determine,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Warrants, when (a) duly executed, authenticated, issued and sold in accordance with the Registration Statement and applicable prospectus supplement and in accordance with the provisions of an applicable, valid and binding warrant agreement or other similar agreement and (b) delivered to the purchaser or purchasers thereof against receipt by the Company of such lawful consideration therefor, if any, as the Board (or a duly authorized committee thereof) may determine, will be binding obligations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Units, when (a) duly executed, authenticated, issued and sold in accordance with the Registration Statement and applicable prospectus supplement and in accordance with the provisions of any applicable, valid and binding unit agreement or other similar agreement and (b) delivered to the purchaser or purchasers thereof against receipt by the Company of such lawful consideration therefor as the Board (or a duly authorized committee thereof) may determine, will be binding obligations of the Company, and any Common Stock, Non-Voting Common Stock or Preferred Stock that is a component of such Units will be validly issued, fully paid and nonassessable, and any Depositary Shares, Debt Securities or Warrants that are components of such Units will be binding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in the paragraphs above are subject to the following exceptions: (a) the effect of bankruptcy, insolvency, reorganization, fraudulent transfer, moratorium or other similar laws relating to or affecting the rights and remedies of creditors; and (b)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and we express no opinion as to waivers of broadly or vaguely stated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States Bancorp,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concerning the laws of any jurisdiction other than the Illinois Business Corporation Act of 1983, as amended, and, with respect to the opinions set forth in paragraphs (4) and (5) above, the laws of the State of New York. We express no opinion as to the laws, rules or regulations of any other jurisdiction, including, without limitation, the federal laws of the United States of America or any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with respect to any specific legal issues other than those explicitly addressed herein. We assume no obligation to update this opinion letter after the date that the Registration Statement is initially declared effective or otherwise advise you with respect to any facts or circumstances or changes in law that may occur or come to our attention after such date (even though the change may affect the legal conclusions stated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in the Registration Statement under the caption “Legal Matters” and to the inclusion of this opinion as an exhibit to the Registration Statement. In giving this consent, we do not admit that we are within the category of persons whose consent is required under Section 7 of the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4340" w:type="dxa"/>
        <w:jc w:val="left"/>
        <w:tblInd w:w="0" w:type="dxa"/>
        <w:tblLayout w:type="fixed"/>
        <w:tblCellMar>
          <w:top w:w="0" w:type="dxa"/>
          <w:left w:w="0" w:type="dxa"/>
          <w:bottom w:w="0" w:type="dxa"/>
          <w:right w:w="0" w:type="dxa"/>
        </w:tblCellMar>
      </w:tblPr>
      <w:tblGrid>
        <w:gridCol w:w="75"/>
        <w:gridCol w:w="4265"/>
      </w:tblGrid>
      <w:tr>
        <w:trPr/>
        <w:tc>
          <w:tcPr>
            <w:tcW w:w="7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Barack Ferrazzano Kirschbaum &amp; Nagelberg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1" w:name="tm2626960d2_ex23-1.htm"/>
      <w:bookmarkStart w:id="22" w:name="kstm2626960d2_ex231"/>
      <w:bookmarkEnd w:id="21"/>
      <w:bookmarkEnd w:id="2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Midland States Bancorp, Inc. of our report dated March 2, 2026 relating to the consolidated financial statements and effectiveness of internal control over financial reporting appearing in the Annual Report on Form 10-K of Midland States Bancorp, Inc. for the year ended December 31, 2025, and to the reference to us under the heading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75"/>
        <w:gridCol w:w="1190"/>
      </w:tblGrid>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Crowe LLP</w:t>
            </w:r>
          </w:p>
        </w:tc>
      </w:tr>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Crowe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Oakbrook Terrace, Illinois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 w:name="tm2626960d2_ex-filingfees.htm"/>
      <w:bookmarkStart w:id="24" w:name="kstm2626960d2_exfilingfees"/>
      <w:bookmarkStart w:id="25" w:name="tm2626960d2_ex-filingfees.htm"/>
      <w:bookmarkStart w:id="26" w:name="kstm2626960d2_exfilingfees"/>
      <w:bookmarkEnd w:id="25"/>
      <w:bookmarkEnd w:id="26"/>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Midland States Bancorp,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7" w:type="dxa"/>
        <w:jc w:val="left"/>
        <w:tblInd w:w="0" w:type="dxa"/>
        <w:tblLayout w:type="fixed"/>
        <w:tblCellMar>
          <w:top w:w="28" w:type="dxa"/>
          <w:left w:w="28" w:type="dxa"/>
          <w:bottom w:w="28" w:type="dxa"/>
          <w:right w:w="28" w:type="dxa"/>
        </w:tblCellMar>
      </w:tblPr>
      <w:tblGrid>
        <w:gridCol w:w="1126"/>
        <w:gridCol w:w="109"/>
        <w:gridCol w:w="1246"/>
        <w:gridCol w:w="126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7"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Non-Voting Common Stock, $0.01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Preferred Stock, $2.00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6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6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6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$ 21,750.00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7"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7" w:name="MaxAggtOfferingPrice"/>
            <w:bookmarkEnd w:id="27"/>
            <w:r>
              <w:rPr/>
              <w:t xml:space="preserve">$ 250,000,000.00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$ 21,750.00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OffsetAmt"/>
            <w:bookmarkEnd w:id="30"/>
            <w:r>
              <w:rPr/>
              <w:t xml:space="preserve">$ 12,514.50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NetFeeAmt"/>
            <w:bookmarkEnd w:id="31"/>
            <w:r>
              <w:rPr/>
              <w:t xml:space="preserve">$ 9,235.50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6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24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6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6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Midland States Bancorp,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333-264370 </w:t>
            </w:r>
          </w:p>
        </w:tc>
        <w:tc>
          <w:tcPr>
            <w:tcW w:w="706" w:type="dxa"/>
            <w:tcBorders/>
            <w:shd w:fill="E7E7E2" w:val="clear"/>
            <w:vAlign w:val="center"/>
          </w:tcPr>
          <w:p>
            <w:pPr>
              <w:pStyle w:val="TableContents"/>
              <w:bidi w:val="0"/>
              <w:spacing w:before="0" w:after="283"/>
              <w:jc w:val="left"/>
              <w:rPr/>
            </w:pPr>
            <w:r>
              <w:rPr/>
              <w:t xml:space="preserve">04/19/2022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$ 12,514.50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$ 135,000,000.00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Midland States Bancorp,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333-264370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04/19/2022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$ 17,003.14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On April 19, 2022, the registrant initially filed a Registration Statement on Form S-3 (File No. 333-264370) (the "Prior Registration Statement"), which registered the offering of securities with a maximum aggregate offering price of $250,000,000. The registrant subsequently sold securities with an aggregate offering price of $115,000,000 pursuant to the Prior Registration Statement, and has terminated any offering that included the remaining unsold securities under the Prior Registration Statement, which had a maximum aggregate offering price of $135,000,000 (the "Unsold Securities"). The filing fee due in connection with the Prior Registration Statement was $23,175 (the "Previously Paid Filing Fee"), $17,003.14 of which was paid with a contemporaneous fee payment. In accordance with Rule 457(p) under the Securities Act of 1933, as amended (the "Securities Act"), the registrant is claiming a fee offset of $12,514.50, which is the aggregate total dollar amount of the Previously Paid Filing Fee associated with the Unsold Securities, against the total filing fee due in connection with this registration statement.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66026/000146602626000020/msbi-20251231.htm" TargetMode="External"/><Relationship Id="rId4" Type="http://schemas.openxmlformats.org/officeDocument/2006/relationships/hyperlink" Target="https://www.sec.gov/ix?doc=/Archives/edgar/data/1466026/000146602626000049/msbi-20260331.htm" TargetMode="External"/><Relationship Id="rId5" Type="http://schemas.openxmlformats.org/officeDocument/2006/relationships/hyperlink" Target="https://www.sec.gov/ix?doc=/Archives/edgar/data/1466026/000146602626000078/msbi-20260630.htm" TargetMode="External"/><Relationship Id="rId6" Type="http://schemas.openxmlformats.org/officeDocument/2006/relationships/hyperlink" Target="https://www.sec.gov/ix?doc=/Archives/edgar/data/1466026/000110465926009720/tm264921d2_8k.htm" TargetMode="External"/><Relationship Id="rId7" Type="http://schemas.openxmlformats.org/officeDocument/2006/relationships/hyperlink" Target="https://www.sec.gov/ix?doc=/Archives/edgar/data/1466026/000110465926009852/tm264921d3_8k.htm" TargetMode="External"/><Relationship Id="rId8" Type="http://schemas.openxmlformats.org/officeDocument/2006/relationships/hyperlink" Target="https://www.sec.gov/ix?doc=/Archives/edgar/data/1466026/000110465926024769/tm268184d1_8k.htm" TargetMode="External"/><Relationship Id="rId9" Type="http://schemas.openxmlformats.org/officeDocument/2006/relationships/hyperlink" Target="https://www.sec.gov/ix?doc=/Archives/edgar/data/1466026/000110465926055691/tm2613651d1_8k.htm" TargetMode="External"/><Relationship Id="rId10" Type="http://schemas.openxmlformats.org/officeDocument/2006/relationships/hyperlink" Target="https://www.sec.gov/ix?doc=/Archives/edgar/data/1466026/000110465926055732/tm2613651d2_8k.htm" TargetMode="External"/><Relationship Id="rId11" Type="http://schemas.openxmlformats.org/officeDocument/2006/relationships/hyperlink" Target="https://www.sec.gov/ix?doc=/Archives/edgar/data/1466026/000110465926057892/tm2614110d1_8k.htm" TargetMode="External"/><Relationship Id="rId12" Type="http://schemas.openxmlformats.org/officeDocument/2006/relationships/hyperlink" Target="https://www.sec.gov/ix?doc=/Archives/edgar/data/1466026/000110465926058721/tm2614269d1_8k.htm" TargetMode="External"/><Relationship Id="rId13" Type="http://schemas.openxmlformats.org/officeDocument/2006/relationships/hyperlink" Target="https://www.sec.gov/ix?doc=/Archives/edgar/data/1466026/000110465926090358/tm2621309d1_8k.htm" TargetMode="External"/><Relationship Id="rId14" Type="http://schemas.openxmlformats.org/officeDocument/2006/relationships/hyperlink" Target="https://www.sec.gov/Archives/edgar/data/1466026/000110465916121429/a15-20841_48a12b.htm" TargetMode="External"/><Relationship Id="rId15" Type="http://schemas.openxmlformats.org/officeDocument/2006/relationships/hyperlink" Target="https://www.sec.gov/Archives/edgar/data/1466026/000110465922094016/tm2224423d2_ex4-1.htm" TargetMode="External"/><Relationship Id="rId16" Type="http://schemas.openxmlformats.org/officeDocument/2006/relationships/hyperlink" Target="https://www.sec.gov/Archives/edgar/data/1466026/000146602624000009/msbi-20231231exx31.htm" TargetMode="External"/><Relationship Id="rId17" Type="http://schemas.openxmlformats.org/officeDocument/2006/relationships/hyperlink" Target="https://www.sec.gov/Archives/edgar/data/1466026/000104746916012073/a2227978zex-3_2.htm" TargetMode="External"/><Relationship Id="rId18" Type="http://schemas.openxmlformats.org/officeDocument/2006/relationships/hyperlink" Target="https://www.sec.gov/Archives/edgar/data/1466026/000110465919047745/a19-17964_1ex4d3.htm" TargetMode="External"/><Relationship Id="rId19" Type="http://schemas.openxmlformats.org/officeDocument/2006/relationships/hyperlink" Target="https://www.sec.gov/Archives/edgar/data/1466026/000110465922094016/tm2224423d2_ex4-1.htm" TargetMode="External"/><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28283</Words>
  <Characters>147338</Characters>
  <CharactersWithSpaces>176715</CharactersWithSpaces>
  <Paragraphs>1615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