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Mooney Kyle Owen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 NETWORK CENTRE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EFFINGHAM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Midland States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-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33.16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13,610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2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2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/s/Kyle O Mooney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/s/Nathan D. Sturycz,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sec16poa_mooney.txt"/>
      <w:bookmarkStart w:id="3" w:name="kssec16poa_mooney"/>
      <w:bookmarkEnd w:id="2"/>
      <w:bookmarkEnd w:id="3"/>
      <w:r>
        <w:rPr/>
        <w:t>POWER OF ATTORNEY  SECTION 16 FILINGS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Nathan D. Sturycz, Stephanie Gurgel, Summer Moorman, 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designees with full power and authority to act alone,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prepare, execute for and on behalf of the undersigned, and submit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(the Commission) a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ID, including amendments thereto, and any other documents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codes and passwords enabling the undersigned 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filings with the Commission of reports required by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 amended (the Exchange Act),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rule or regulation of the Commission;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act as account administrator and to manage the undersigneds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execute for and on behalf of the undersigned, in the undersigneds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 reporting person of Midland States Bancorp, Inc.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Company), Forms 3, 4 and 5 in accordance with Section 16(a) of the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and the rules thereunder, or Forms 144 pursuant to the Exchange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maybe necessary or desirable to complete and execute any such Form 3,</w:t>
      </w:r>
    </w:p>
    <w:p>
      <w:pPr>
        <w:pStyle w:val="PreformattedText"/>
        <w:bidi w:val="0"/>
        <w:spacing w:before="0" w:after="0"/>
        <w:jc w:val="left"/>
        <w:rPr/>
      </w:pPr>
      <w:r>
        <w:rPr/>
        <w:t>4, 5, or Form 144 including any amendment or amendments thereto and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with the Commission and the applicable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 seek or obtain, as the undersigneds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behalf, information on transactions in the Companys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any third party, including brokers, employee benefit plan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 and trustees, and the undersigned hereby authorizes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to release any such information to the undersigneds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appointed by this Power of Attorney and approves and ratifies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(6)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any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any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 conditions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any of such attorney-in-fact may approve in his 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act separately and to do and perform any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any of such attorney-in-fact, or the substitute or substitutes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such attorney-in-fact, shall lawfully do or cause to be done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virtue of this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holdings of and transactions in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agrees to hold the attorney-in-fact, or either one of them,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 and severally, free and harmless from any and all loss, damage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that they, or either one of them, may sustain as a result of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 taken in good faith hereunder and not due to the attorney-in-facts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 negligence, misconduct or bad faith.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18th day of November,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</w:t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  Kyle Mooney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9337" TargetMode="External"/><Relationship Id="rId5" Type="http://schemas.openxmlformats.org/officeDocument/2006/relationships/hyperlink" Target="http://www.sec.gov/cgi-bin/browse-edgar?action=getcompany&amp;CIK=00014660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1262</Words>
  <Characters>6683</Characters>
  <CharactersWithSpaces>7833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