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2"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6" w:lineRule="exact"/>
        <w:rPr>
          <w:sz w:val="24"/>
          <w:szCs w:val="24"/>
          <w:color w:val="auto"/>
        </w:rPr>
      </w:pPr>
    </w:p>
    <w:p>
      <w:pPr>
        <w:ind w:left="340" w:right="140"/>
        <w:spacing w:after="0" w:line="24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-220345</wp:posOffset>
            </wp:positionV>
            <wp:extent cx="118110" cy="1181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110" cy="118110"/>
                    </a:xfrm>
                    <a:prstGeom prst="rect">
                      <a:avLst/>
                    </a:prstGeom>
                    <a:noFill/>
                  </pic:spPr>
                </pic:pic>
              </a:graphicData>
            </a:graphic>
          </wp:anchor>
        </w:drawing>
      </w:r>
    </w:p>
    <w:p>
      <w:pPr>
        <w:spacing w:after="0" w:line="201" w:lineRule="exact"/>
        <w:rPr>
          <w:sz w:val="24"/>
          <w:szCs w:val="24"/>
          <w:color w:val="auto"/>
        </w:rPr>
      </w:pPr>
    </w:p>
    <w:p>
      <w:pPr>
        <w:ind w:left="340"/>
        <w:spacing w:after="0" w:line="241"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-556260</wp:posOffset>
            </wp:positionV>
            <wp:extent cx="118110" cy="118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110" cy="1181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6160" w:type="dxa"/>
            <w:vAlign w:val="bottom"/>
          </w:tcPr>
          <w:p>
            <w:pPr>
              <w:jc w:val="center"/>
              <w:ind w:right="28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160" w:type="dxa"/>
            <w:vAlign w:val="bottom"/>
            <w:vMerge w:val="restart"/>
          </w:tcPr>
          <w:p>
            <w:pPr>
              <w:jc w:val="center"/>
              <w:ind w:right="300"/>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61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8"/>
        </w:trPr>
        <w:tc>
          <w:tcPr>
            <w:tcW w:w="6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jc w:val="center"/>
              <w:ind w:right="280"/>
              <w:spacing w:after="0" w:line="178"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61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6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6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160" w:type="dxa"/>
            <w:vAlign w:val="bottom"/>
            <w:vMerge w:val="restart"/>
          </w:tcPr>
          <w:p>
            <w:pPr>
              <w:jc w:val="center"/>
              <w:ind w:right="30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61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5182870</wp:posOffset>
            </wp:positionH>
            <wp:positionV relativeFrom="paragraph">
              <wp:posOffset>-601345</wp:posOffset>
            </wp:positionV>
            <wp:extent cx="56515" cy="6146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14680"/>
                    </a:xfrm>
                    <a:prstGeom prst="rect">
                      <a:avLst/>
                    </a:prstGeom>
                    <a:noFill/>
                  </pic:spPr>
                </pic:pic>
              </a:graphicData>
            </a:graphic>
          </wp:anchor>
        </w:drawing>
        <w:drawing>
          <wp:anchor simplePos="0" relativeHeight="251657728" behindDoc="1" locked="0" layoutInCell="0" allowOverlap="1">
            <wp:simplePos x="0" y="0"/>
            <wp:positionH relativeFrom="column">
              <wp:posOffset>3902710</wp:posOffset>
            </wp:positionH>
            <wp:positionV relativeFrom="paragraph">
              <wp:posOffset>-601345</wp:posOffset>
            </wp:positionV>
            <wp:extent cx="56515" cy="6146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15" cy="61468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-1727200</wp:posOffset>
            </wp:positionH>
            <wp:positionV relativeFrom="paragraph">
              <wp:posOffset>638175</wp:posOffset>
            </wp:positionV>
            <wp:extent cx="6998970" cy="4596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8970" cy="4596130"/>
                    </a:xfrm>
                    <a:prstGeom prst="rect">
                      <a:avLst/>
                    </a:prstGeom>
                    <a:noFill/>
                  </pic:spPr>
                </pic:pic>
              </a:graphicData>
            </a:graphic>
          </wp:anchor>
        </w:drawing>
      </w:r>
    </w:p>
    <w:p>
      <w:pPr>
        <w:spacing w:after="0" w:line="1075" w:lineRule="exact"/>
        <w:rPr>
          <w:sz w:val="24"/>
          <w:szCs w:val="24"/>
          <w:color w:val="auto"/>
        </w:rPr>
      </w:pPr>
    </w:p>
    <w:p>
      <w:pPr>
        <w:sectPr>
          <w:pgSz w:w="11900" w:h="16838" w:orient="portrait"/>
          <w:cols w:equalWidth="0" w:num="2">
            <w:col w:w="2300" w:space="400"/>
            <w:col w:w="8380"/>
          </w:cols>
          <w:pgMar w:left="460" w:top="213" w:right="359" w:bottom="144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Franklin Travis</w:t>
        </w:r>
      </w:hyperlink>
    </w:p>
    <w:p>
      <w:pPr>
        <w:spacing w:after="0" w:line="28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1201 NETWORK CENTRE DR.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8" w:lineRule="exact"/>
        <w:rPr>
          <w:sz w:val="24"/>
          <w:szCs w:val="24"/>
          <w:color w:val="auto"/>
        </w:rPr>
      </w:pPr>
    </w:p>
    <w:p>
      <w:pPr>
        <w:jc w:val="center"/>
        <w:ind w:right="121"/>
        <w:spacing w:after="0"/>
        <w:rPr>
          <w:rFonts w:ascii="Times New Roman" w:cs="Times New Roman" w:eastAsia="Times New Roman" w:hAnsi="Times New Roman"/>
          <w:sz w:val="19"/>
          <w:szCs w:val="19"/>
          <w:color w:val="0000EE"/>
        </w:rPr>
      </w:pPr>
      <w:hyperlink r:id="rId14">
        <w:r>
          <w:rPr>
            <w:rFonts w:ascii="Times New Roman" w:cs="Times New Roman" w:eastAsia="Times New Roman" w:hAnsi="Times New Roman"/>
            <w:sz w:val="19"/>
            <w:szCs w:val="19"/>
            <w:u w:val="single" w:color="auto"/>
            <w:color w:val="0000EE"/>
          </w:rPr>
          <w:t>Midland States Bancorp, Inc.</w:t>
        </w:r>
        <w:r>
          <w:rPr>
            <w:rFonts w:ascii="Times New Roman" w:cs="Times New Roman" w:eastAsia="Times New Roman" w:hAnsi="Times New Roman"/>
            <w:sz w:val="19"/>
            <w:szCs w:val="19"/>
            <w:color w:val="0000EE"/>
          </w:rPr>
          <w:t xml:space="preserve">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5"/>
          <w:szCs w:val="15"/>
          <w:color w:val="0000FF"/>
        </w:rPr>
        <w:t>MSBI</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p>
      <w:pPr>
        <w:spacing w:after="0" w:line="35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06/30/2026</w:t>
      </w:r>
    </w:p>
    <w:p>
      <w:pPr>
        <w:spacing w:after="0" w:line="20" w:lineRule="exact"/>
        <w:rPr>
          <w:sz w:val="24"/>
          <w:szCs w:val="24"/>
          <w:color w:val="auto"/>
        </w:rPr>
      </w:pPr>
      <w:r>
        <w:rPr>
          <w:sz w:val="24"/>
          <w:szCs w:val="24"/>
          <w:color w:val="auto"/>
        </w:rPr>
        <w:br w:type="column"/>
      </w:r>
    </w:p>
    <w:p>
      <w:pPr>
        <w:ind w:left="-1" w:right="740" w:firstLine="1"/>
        <w:spacing w:after="0" w:line="281" w:lineRule="auto"/>
        <w:tabs>
          <w:tab w:leader="none" w:pos="137"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11"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2"/>
          <w:szCs w:val="12"/>
          <w:color w:val="auto"/>
        </w:rPr>
        <w:t>Director</w:t>
      </w:r>
      <w:r>
        <w:rPr>
          <w:sz w:val="20"/>
          <w:szCs w:val="20"/>
          <w:color w:val="auto"/>
        </w:rPr>
        <w:tab/>
      </w:r>
      <w:r>
        <w:rPr>
          <w:rFonts w:ascii="Arial" w:cs="Arial" w:eastAsia="Arial" w:hAnsi="Arial"/>
          <w:sz w:val="12"/>
          <w:szCs w:val="12"/>
          <w:color w:val="auto"/>
        </w:rPr>
        <w:t>10% Owner</w:t>
      </w:r>
    </w:p>
    <w:p>
      <w:pPr>
        <w:spacing w:after="0" w:line="72" w:lineRule="exact"/>
        <w:rPr>
          <w:sz w:val="24"/>
          <w:szCs w:val="24"/>
          <w:color w:val="auto"/>
        </w:rPr>
      </w:pPr>
    </w:p>
    <w:p>
      <w:pPr>
        <w:jc w:val="right"/>
        <w:ind w:right="48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10"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493" w:lineRule="exact"/>
        <w:rPr>
          <w:sz w:val="24"/>
          <w:szCs w:val="24"/>
          <w:color w:val="auto"/>
        </w:rPr>
      </w:pPr>
    </w:p>
    <w:p>
      <w:pPr>
        <w:sectPr>
          <w:pgSz w:w="11900" w:h="16838" w:orient="portrait"/>
          <w:cols w:equalWidth="0" w:num="3">
            <w:col w:w="3180" w:space="720"/>
            <w:col w:w="3121" w:space="720"/>
            <w:col w:w="3339"/>
          </w:cols>
          <w:pgMar w:left="460" w:top="213" w:right="359" w:bottom="1440" w:gutter="0" w:footer="0" w:header="0"/>
          <w:type w:val="continuous"/>
        </w:sectPr>
      </w:pPr>
    </w:p>
    <w:p>
      <w:pPr>
        <w:spacing w:after="0" w:line="99" w:lineRule="exact"/>
        <w:rPr>
          <w:sz w:val="24"/>
          <w:szCs w:val="24"/>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0" w:type="dxa"/>
            <w:vAlign w:val="bottom"/>
            <w:gridSpan w:val="7"/>
          </w:tcPr>
          <w:p>
            <w:pPr>
              <w:jc w:val="center"/>
              <w:ind w:right="122"/>
              <w:spacing w:after="0"/>
              <w:rPr>
                <w:sz w:val="20"/>
                <w:szCs w:val="20"/>
                <w:color w:val="auto"/>
              </w:rPr>
            </w:pPr>
            <w:r>
              <w:rPr>
                <w:rFonts w:ascii="Arial" w:cs="Arial" w:eastAsia="Arial" w:hAnsi="Arial"/>
                <w:sz w:val="12"/>
                <w:szCs w:val="12"/>
                <w:color w:val="auto"/>
              </w:rPr>
              <w:t>4. If Amendment, Date of Original Filed (Month/Day/Year)</w:t>
            </w:r>
          </w:p>
        </w:tc>
        <w:tc>
          <w:tcPr>
            <w:tcW w:w="3720" w:type="dxa"/>
            <w:vAlign w:val="bottom"/>
            <w:gridSpan w:val="9"/>
          </w:tcPr>
          <w:p>
            <w:pPr>
              <w:ind w:left="38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EFFINGHAM</w:t>
            </w:r>
          </w:p>
        </w:tc>
        <w:tc>
          <w:tcPr>
            <w:tcW w:w="2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IL</w:t>
            </w:r>
          </w:p>
        </w:tc>
        <w:tc>
          <w:tcPr>
            <w:tcW w:w="1000" w:type="dxa"/>
            <w:vAlign w:val="bottom"/>
          </w:tcPr>
          <w:p>
            <w:pPr>
              <w:spacing w:after="0"/>
              <w:rPr>
                <w:sz w:val="18"/>
                <w:szCs w:val="18"/>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62401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40" w:type="dxa"/>
            <w:vAlign w:val="bottom"/>
            <w:gridSpan w:val="4"/>
          </w:tcPr>
          <w:p>
            <w:pPr>
              <w:ind w:left="16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60" w:type="dxa"/>
            <w:vAlign w:val="bottom"/>
            <w:gridSpan w:val="7"/>
          </w:tcPr>
          <w:p>
            <w:pPr>
              <w:ind w:left="16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ind w:left="20"/>
              <w:spacing w:after="0"/>
              <w:rPr>
                <w:sz w:val="20"/>
                <w:szCs w:val="20"/>
                <w:color w:val="auto"/>
              </w:rPr>
            </w:pPr>
            <w:r>
              <w:rPr>
                <w:rFonts w:ascii="Arial" w:cs="Arial" w:eastAsia="Arial" w:hAnsi="Arial"/>
                <w:sz w:val="12"/>
                <w:szCs w:val="12"/>
                <w:color w:val="auto"/>
              </w:rPr>
              <w:t>(City)</w:t>
            </w:r>
          </w:p>
        </w:tc>
        <w:tc>
          <w:tcPr>
            <w:tcW w:w="52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2"/>
                <w:szCs w:val="12"/>
                <w:color w:val="auto"/>
              </w:rPr>
              <w:t>(State)</w:t>
            </w:r>
          </w:p>
        </w:tc>
        <w:tc>
          <w:tcPr>
            <w:tcW w:w="1120" w:type="dxa"/>
            <w:vAlign w:val="bottom"/>
            <w:gridSpan w:val="2"/>
          </w:tcPr>
          <w:p>
            <w:pPr>
              <w:ind w:left="20"/>
              <w:spacing w:after="0"/>
              <w:rPr>
                <w:sz w:val="20"/>
                <w:szCs w:val="20"/>
                <w:color w:val="auto"/>
              </w:rPr>
            </w:pPr>
            <w:r>
              <w:rPr>
                <w:rFonts w:ascii="Arial" w:cs="Arial" w:eastAsia="Arial" w:hAnsi="Arial"/>
                <w:sz w:val="12"/>
                <w:szCs w:val="12"/>
                <w:color w:val="auto"/>
              </w:rPr>
              <w:t>(Zip)</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080" w:type="dxa"/>
            <w:vAlign w:val="bottom"/>
            <w:tcBorders>
              <w:bottom w:val="single" w:sz="8" w:color="2C2C2C"/>
            </w:tcBorders>
            <w:gridSpan w:val="2"/>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80" w:type="dxa"/>
            <w:vAlign w:val="bottom"/>
            <w:tcBorders>
              <w:bottom w:val="single" w:sz="8" w:color="2C2C2C"/>
            </w:tcBorders>
            <w:gridSpan w:val="4"/>
          </w:tcPr>
          <w:p>
            <w:pPr>
              <w:spacing w:after="0"/>
              <w:rPr>
                <w:sz w:val="10"/>
                <w:szCs w:val="10"/>
                <w:color w:val="auto"/>
              </w:rPr>
            </w:pPr>
          </w:p>
        </w:tc>
        <w:tc>
          <w:tcPr>
            <w:tcW w:w="660" w:type="dxa"/>
            <w:vAlign w:val="bottom"/>
            <w:tcBorders>
              <w:bottom w:val="single" w:sz="8" w:color="2C2C2C"/>
            </w:tcBorders>
            <w:gridSpan w:val="2"/>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7220" w:type="dxa"/>
            <w:vAlign w:val="bottom"/>
            <w:tcBorders>
              <w:top w:val="single" w:sz="8" w:color="2C2C2C"/>
            </w:tcBorders>
            <w:gridSpan w:val="14"/>
          </w:tcPr>
          <w:p>
            <w:pPr>
              <w:jc w:val="center"/>
              <w:ind w:left="618"/>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2520" w:type="dxa"/>
            <w:vAlign w:val="bottom"/>
            <w:tcBorders>
              <w:bottom w:val="single" w:sz="8" w:color="2C2C2C"/>
            </w:tcBorders>
            <w:gridSpan w:val="5"/>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3"/>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3"/>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40" w:type="dxa"/>
            <w:vAlign w:val="bottom"/>
            <w:gridSpan w:val="4"/>
          </w:tcPr>
          <w:p>
            <w:pPr>
              <w:ind w:left="860"/>
              <w:spacing w:after="0"/>
              <w:rPr>
                <w:sz w:val="20"/>
                <w:szCs w:val="20"/>
                <w:color w:val="auto"/>
              </w:rPr>
            </w:pPr>
            <w:r>
              <w:rPr>
                <w:rFonts w:ascii="Arial" w:cs="Arial" w:eastAsia="Arial" w:hAnsi="Arial"/>
                <w:sz w:val="11"/>
                <w:szCs w:val="11"/>
                <w:b w:val="1"/>
                <w:bCs w:val="1"/>
                <w:color w:val="auto"/>
              </w:rPr>
              <w:t>2. Transaction</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w w:val="98"/>
              </w:rPr>
              <w:t>2A. Deemed</w:t>
            </w:r>
          </w:p>
        </w:tc>
        <w:tc>
          <w:tcPr>
            <w:tcW w:w="280" w:type="dxa"/>
            <w:vAlign w:val="bottom"/>
          </w:tcPr>
          <w:p>
            <w:pPr>
              <w:spacing w:after="0"/>
              <w:rPr>
                <w:sz w:val="14"/>
                <w:szCs w:val="14"/>
                <w:color w:val="auto"/>
              </w:rPr>
            </w:pP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2000" w:type="dxa"/>
            <w:vAlign w:val="bottom"/>
            <w:gridSpan w:val="4"/>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gridSpan w:val="2"/>
          </w:tcPr>
          <w:p>
            <w:pPr>
              <w:ind w:left="860"/>
              <w:spacing w:after="0" w:line="124" w:lineRule="exact"/>
              <w:rPr>
                <w:sz w:val="20"/>
                <w:szCs w:val="20"/>
                <w:color w:val="auto"/>
              </w:rPr>
            </w:pPr>
            <w:r>
              <w:rPr>
                <w:rFonts w:ascii="Arial" w:cs="Arial" w:eastAsia="Arial" w:hAnsi="Arial"/>
                <w:sz w:val="11"/>
                <w:szCs w:val="11"/>
                <w:b w:val="1"/>
                <w:bCs w:val="1"/>
                <w:color w:val="auto"/>
              </w:rPr>
              <w:t>Date</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9"/>
              </w:rPr>
              <w:t>Transaction</w:t>
            </w:r>
          </w:p>
        </w:tc>
        <w:tc>
          <w:tcPr>
            <w:tcW w:w="2000" w:type="dxa"/>
            <w:vAlign w:val="bottom"/>
            <w:gridSpan w:val="4"/>
          </w:tcPr>
          <w:p>
            <w:pPr>
              <w:ind w:left="12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6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840" w:type="dxa"/>
            <w:vAlign w:val="bottom"/>
            <w:gridSpan w:val="4"/>
          </w:tcPr>
          <w:p>
            <w:pPr>
              <w:ind w:left="860"/>
              <w:spacing w:after="0" w:line="124" w:lineRule="exact"/>
              <w:rPr>
                <w:sz w:val="20"/>
                <w:szCs w:val="20"/>
                <w:color w:val="auto"/>
              </w:rPr>
            </w:pPr>
            <w:r>
              <w:rPr>
                <w:rFonts w:ascii="Arial" w:cs="Arial" w:eastAsia="Arial" w:hAnsi="Arial"/>
                <w:sz w:val="11"/>
                <w:szCs w:val="11"/>
                <w:b w:val="1"/>
                <w:bCs w:val="1"/>
                <w:color w:val="auto"/>
              </w:rPr>
              <w:t>(Month/Day/Year)</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76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8)</w:t>
            </w: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56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gridSpan w:val="3"/>
            <w:vMerge w:val="restart"/>
          </w:tcPr>
          <w:p>
            <w:pPr>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ind w:left="300"/>
              <w:spacing w:after="0" w:line="124" w:lineRule="exact"/>
              <w:rPr>
                <w:sz w:val="20"/>
                <w:szCs w:val="20"/>
                <w:color w:val="auto"/>
              </w:rPr>
            </w:pPr>
            <w:r>
              <w:rPr>
                <w:rFonts w:ascii="Arial" w:cs="Arial" w:eastAsia="Arial" w:hAnsi="Arial"/>
                <w:sz w:val="11"/>
                <w:szCs w:val="11"/>
                <w:b w:val="1"/>
                <w:bCs w:val="1"/>
                <w:color w:val="auto"/>
              </w:rPr>
              <w:t>(A) or</w:t>
            </w:r>
          </w:p>
        </w:tc>
        <w:tc>
          <w:tcPr>
            <w:tcW w:w="760" w:type="dxa"/>
            <w:vAlign w:val="bottom"/>
            <w:gridSpan w:val="2"/>
            <w:vMerge w:val="restart"/>
          </w:tcPr>
          <w:p>
            <w:pPr>
              <w:ind w:left="20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vMerge w:val="restart"/>
          </w:tcPr>
          <w:p>
            <w:pPr>
              <w:ind w:left="300"/>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0000FF"/>
              </w:rPr>
              <w:t>9,400</w:t>
            </w:r>
          </w:p>
        </w:tc>
        <w:tc>
          <w:tcPr>
            <w:tcW w:w="32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1800" w:type="dxa"/>
            <w:vAlign w:val="bottom"/>
            <w:tcBorders>
              <w:bottom w:val="single" w:sz="8" w:color="2C2C2C"/>
            </w:tcBorders>
            <w:gridSpan w:val="6"/>
          </w:tcPr>
          <w:p>
            <w:pPr>
              <w:spacing w:after="0"/>
              <w:rPr>
                <w:sz w:val="8"/>
                <w:szCs w:val="8"/>
                <w:color w:val="auto"/>
              </w:rPr>
            </w:pPr>
          </w:p>
        </w:tc>
        <w:tc>
          <w:tcPr>
            <w:tcW w:w="2680" w:type="dxa"/>
            <w:vAlign w:val="bottom"/>
            <w:tcBorders>
              <w:bottom w:val="single" w:sz="8" w:color="2C2C2C"/>
            </w:tcBorders>
            <w:gridSpan w:val="4"/>
          </w:tcPr>
          <w:p>
            <w:pPr>
              <w:spacing w:after="0"/>
              <w:rPr>
                <w:sz w:val="8"/>
                <w:szCs w:val="8"/>
                <w:color w:val="auto"/>
              </w:rPr>
            </w:pPr>
          </w:p>
        </w:tc>
        <w:tc>
          <w:tcPr>
            <w:tcW w:w="660" w:type="dxa"/>
            <w:vAlign w:val="bottom"/>
            <w:tcBorders>
              <w:bottom w:val="single" w:sz="8" w:color="2C2C2C"/>
            </w:tcBorders>
            <w:gridSpan w:val="2"/>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7"/>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520" w:type="dxa"/>
            <w:vAlign w:val="bottom"/>
            <w:tcBorders>
              <w:top w:val="single" w:sz="8" w:color="2C2C2C"/>
            </w:tcBorders>
          </w:tcPr>
          <w:p>
            <w:pPr>
              <w:spacing w:after="0"/>
              <w:rPr>
                <w:sz w:val="17"/>
                <w:szCs w:val="17"/>
                <w:color w:val="auto"/>
              </w:rPr>
            </w:pPr>
          </w:p>
        </w:tc>
        <w:tc>
          <w:tcPr>
            <w:tcW w:w="220" w:type="dxa"/>
            <w:vAlign w:val="bottom"/>
            <w:tcBorders>
              <w:top w:val="single" w:sz="8" w:color="2C2C2C"/>
            </w:tcBorders>
          </w:tcPr>
          <w:p>
            <w:pPr>
              <w:spacing w:after="0"/>
              <w:rPr>
                <w:sz w:val="17"/>
                <w:szCs w:val="17"/>
                <w:color w:val="auto"/>
              </w:rPr>
            </w:pPr>
          </w:p>
        </w:tc>
        <w:tc>
          <w:tcPr>
            <w:tcW w:w="1000" w:type="dxa"/>
            <w:vAlign w:val="bottom"/>
            <w:tcBorders>
              <w:top w:val="single" w:sz="8" w:color="2C2C2C"/>
            </w:tcBorders>
          </w:tcPr>
          <w:p>
            <w:pPr>
              <w:spacing w:after="0"/>
              <w:rPr>
                <w:sz w:val="17"/>
                <w:szCs w:val="17"/>
                <w:color w:val="auto"/>
              </w:rPr>
            </w:pPr>
          </w:p>
        </w:tc>
        <w:tc>
          <w:tcPr>
            <w:tcW w:w="6220" w:type="dxa"/>
            <w:vAlign w:val="bottom"/>
            <w:tcBorders>
              <w:top w:val="single" w:sz="8" w:color="2C2C2C"/>
            </w:tcBorders>
            <w:gridSpan w:val="13"/>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7"/>
                <w:szCs w:val="17"/>
                <w:color w:val="auto"/>
              </w:rPr>
            </w:pPr>
          </w:p>
        </w:tc>
        <w:tc>
          <w:tcPr>
            <w:tcW w:w="32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580" w:type="dxa"/>
            <w:vAlign w:val="bottom"/>
            <w:gridSpan w:val="12"/>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380" w:type="dxa"/>
            <w:vAlign w:val="bottom"/>
            <w:tcBorders>
              <w:bottom w:val="single" w:sz="8" w:color="2C2C2C"/>
            </w:tcBorders>
            <w:gridSpan w:val="3"/>
          </w:tcPr>
          <w:p>
            <w:pPr>
              <w:spacing w:after="0"/>
              <w:rPr>
                <w:sz w:val="2"/>
                <w:szCs w:val="2"/>
                <w:color w:val="auto"/>
              </w:rPr>
            </w:pPr>
          </w:p>
        </w:tc>
        <w:tc>
          <w:tcPr>
            <w:tcW w:w="136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220" w:type="dxa"/>
            <w:vAlign w:val="bottom"/>
          </w:tcPr>
          <w:p>
            <w:pPr>
              <w:spacing w:after="0"/>
              <w:rPr>
                <w:sz w:val="14"/>
                <w:szCs w:val="14"/>
                <w:color w:val="auto"/>
              </w:rPr>
            </w:pP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100"/>
              <w:spacing w:after="0"/>
              <w:rPr>
                <w:sz w:val="20"/>
                <w:szCs w:val="20"/>
                <w:color w:val="auto"/>
              </w:rPr>
            </w:pPr>
            <w:r>
              <w:rPr>
                <w:rFonts w:ascii="Arial" w:cs="Arial" w:eastAsia="Arial" w:hAnsi="Arial"/>
                <w:sz w:val="11"/>
                <w:szCs w:val="11"/>
                <w:b w:val="1"/>
                <w:bCs w:val="1"/>
                <w:color w:val="auto"/>
              </w:rPr>
              <w:t>3A. Deemed</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4.</w:t>
            </w:r>
          </w:p>
        </w:tc>
        <w:tc>
          <w:tcPr>
            <w:tcW w:w="98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38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38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6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Transaction</w:t>
            </w:r>
          </w:p>
        </w:tc>
        <w:tc>
          <w:tcPr>
            <w:tcW w:w="7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38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Expiration Date</w:t>
            </w:r>
          </w:p>
        </w:tc>
        <w:tc>
          <w:tcPr>
            <w:tcW w:w="138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6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Derivative</w:t>
            </w: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440" w:type="dxa"/>
            <w:vAlign w:val="bottom"/>
            <w:tcBorders>
              <w:right w:val="single" w:sz="8" w:color="2C2C2C"/>
            </w:tcBorders>
            <w:gridSpan w:val="4"/>
          </w:tcPr>
          <w:p>
            <w:pPr>
              <w:ind w:left="80"/>
              <w:spacing w:after="0" w:line="124"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112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if any</w:t>
            </w:r>
          </w:p>
        </w:tc>
        <w:tc>
          <w:tcPr>
            <w:tcW w:w="72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0"/>
                <w:szCs w:val="10"/>
                <w:color w:val="auto"/>
              </w:rPr>
            </w:pPr>
          </w:p>
        </w:tc>
        <w:tc>
          <w:tcPr>
            <w:tcW w:w="138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(Month/Day/Year)</w:t>
            </w:r>
          </w:p>
        </w:tc>
        <w:tc>
          <w:tcPr>
            <w:tcW w:w="138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Derivative Security</w:t>
            </w:r>
          </w:p>
        </w:tc>
        <w:tc>
          <w:tcPr>
            <w:tcW w:w="6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Security</w:t>
            </w: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5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(Month/Day/Year)</w:t>
            </w:r>
          </w:p>
        </w:tc>
        <w:tc>
          <w:tcPr>
            <w:tcW w:w="72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8)</w:t>
            </w:r>
          </w:p>
        </w:tc>
        <w:tc>
          <w:tcPr>
            <w:tcW w:w="98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38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(Instr. 3 and 4)</w:t>
            </w:r>
          </w:p>
        </w:tc>
        <w:tc>
          <w:tcPr>
            <w:tcW w:w="6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8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or Disposed of</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0"/>
                <w:szCs w:val="10"/>
                <w:color w:val="auto"/>
              </w:rPr>
            </w:pP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8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(D) (Instr. 3, 4</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1440" w:type="dxa"/>
            <w:vAlign w:val="bottom"/>
            <w:tcBorders>
              <w:right w:val="single" w:sz="8" w:color="2C2C2C"/>
            </w:tcBorders>
            <w:gridSpan w:val="4"/>
          </w:tcPr>
          <w:p>
            <w:pPr>
              <w:ind w:left="80"/>
              <w:spacing w:after="0" w:line="124"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and 5)</w:t>
            </w: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9"/>
              </w:rPr>
              <w:t>Reported</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gridSpan w:val="2"/>
            <w:vMerge w:val="restart"/>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Amount or</w:t>
            </w:r>
          </w:p>
        </w:tc>
        <w:tc>
          <w:tcPr>
            <w:tcW w:w="640" w:type="dxa"/>
            <w:vAlign w:val="bottom"/>
          </w:tcPr>
          <w:p>
            <w:pPr>
              <w:spacing w:after="0"/>
              <w:rPr>
                <w:sz w:val="10"/>
                <w:szCs w:val="10"/>
                <w:color w:val="auto"/>
              </w:rPr>
            </w:pPr>
          </w:p>
        </w:tc>
        <w:tc>
          <w:tcPr>
            <w:tcW w:w="5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Date</w:t>
            </w:r>
          </w:p>
        </w:tc>
        <w:tc>
          <w:tcPr>
            <w:tcW w:w="620" w:type="dxa"/>
            <w:vAlign w:val="bottom"/>
          </w:tcPr>
          <w:p>
            <w:pPr>
              <w:jc w:val="center"/>
              <w:ind w:right="26"/>
              <w:spacing w:after="0" w:line="124" w:lineRule="exact"/>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0"/>
                <w:szCs w:val="10"/>
                <w:color w:val="auto"/>
              </w:rPr>
            </w:pPr>
          </w:p>
        </w:tc>
        <w:tc>
          <w:tcPr>
            <w:tcW w:w="7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Number of</w:t>
            </w: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V</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Shares</w:t>
            </w: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740" w:type="dxa"/>
            <w:vAlign w:val="bottom"/>
            <w:gridSpan w:val="2"/>
            <w:vMerge w:val="restart"/>
          </w:tcPr>
          <w:p>
            <w:pPr>
              <w:ind w:left="1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22.65</w:t>
            </w:r>
            <w:r>
              <w:rPr>
                <w:rFonts w:ascii="Times New Roman" w:cs="Times New Roman" w:eastAsia="Times New Roman" w:hAnsi="Times New Roman"/>
                <w:sz w:val="20"/>
                <w:szCs w:val="20"/>
                <w:color w:val="008000"/>
                <w:vertAlign w:val="superscript"/>
              </w:rPr>
              <w:t>(1)</w:t>
            </w: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740" w:type="dxa"/>
            <w:vAlign w:val="bottom"/>
            <w:vMerge w:val="restart"/>
          </w:tcPr>
          <w:p>
            <w:pPr>
              <w:jc w:val="right"/>
              <w:ind w:right="96"/>
              <w:spacing w:after="0"/>
              <w:rPr>
                <w:sz w:val="20"/>
                <w:szCs w:val="20"/>
                <w:color w:val="auto"/>
              </w:rPr>
            </w:pPr>
            <w:r>
              <w:rPr>
                <w:rFonts w:ascii="Times New Roman" w:cs="Times New Roman" w:eastAsia="Times New Roman" w:hAnsi="Times New Roman"/>
                <w:sz w:val="16"/>
                <w:szCs w:val="16"/>
                <w:color w:val="0000FF"/>
              </w:rPr>
              <w:t>119.22</w:t>
            </w:r>
          </w:p>
        </w:tc>
        <w:tc>
          <w:tcPr>
            <w:tcW w:w="20" w:type="dxa"/>
            <w:vAlign w:val="bottom"/>
          </w:tcPr>
          <w:p>
            <w:pPr>
              <w:spacing w:after="0"/>
              <w:rPr>
                <w:sz w:val="15"/>
                <w:szCs w:val="15"/>
                <w:color w:val="auto"/>
              </w:rPr>
            </w:pPr>
          </w:p>
        </w:tc>
        <w:tc>
          <w:tcPr>
            <w:tcW w:w="640" w:type="dxa"/>
            <w:vAlign w:val="bottom"/>
            <w:vMerge w:val="restart"/>
          </w:tcPr>
          <w:p>
            <w:pPr>
              <w:jc w:val="center"/>
              <w:ind w:right="22"/>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26.55</w:t>
            </w:r>
            <w:r>
              <w:rPr>
                <w:rFonts w:ascii="Times New Roman" w:cs="Times New Roman" w:eastAsia="Times New Roman" w:hAnsi="Times New Roman"/>
                <w:sz w:val="20"/>
                <w:szCs w:val="20"/>
                <w:color w:val="008000"/>
                <w:vertAlign w:val="superscript"/>
              </w:rPr>
              <w:t>(2)</w:t>
            </w: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Share</w:t>
            </w:r>
          </w:p>
        </w:tc>
        <w:tc>
          <w:tcPr>
            <w:tcW w:w="740" w:type="dxa"/>
            <w:vAlign w:val="bottom"/>
            <w:gridSpan w:val="2"/>
            <w:vMerge w:val="continue"/>
          </w:tcPr>
          <w:p>
            <w:pPr>
              <w:spacing w:after="0"/>
              <w:rPr>
                <w:sz w:val="6"/>
                <w:szCs w:val="6"/>
                <w:color w:val="auto"/>
              </w:rPr>
            </w:pPr>
          </w:p>
        </w:tc>
        <w:tc>
          <w:tcPr>
            <w:tcW w:w="1000" w:type="dxa"/>
            <w:vAlign w:val="bottom"/>
            <w:vMerge w:val="restart"/>
          </w:tcPr>
          <w:p>
            <w:pPr>
              <w:jc w:val="right"/>
              <w:ind w:right="138"/>
              <w:spacing w:after="0"/>
              <w:rPr>
                <w:sz w:val="20"/>
                <w:szCs w:val="20"/>
                <w:color w:val="auto"/>
              </w:rPr>
            </w:pPr>
            <w:r>
              <w:rPr>
                <w:rFonts w:ascii="Times New Roman" w:cs="Times New Roman" w:eastAsia="Times New Roman" w:hAnsi="Times New Roman"/>
                <w:sz w:val="12"/>
                <w:szCs w:val="12"/>
                <w:color w:val="0000FF"/>
              </w:rPr>
              <w:t>06/30/2026</w:t>
            </w: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rPr>
              <w:t>A</w:t>
            </w:r>
          </w:p>
        </w:tc>
        <w:tc>
          <w:tcPr>
            <w:tcW w:w="700" w:type="dxa"/>
            <w:vAlign w:val="bottom"/>
            <w:vMerge w:val="restart"/>
          </w:tcPr>
          <w:p>
            <w:pPr>
              <w:jc w:val="right"/>
              <w:ind w:right="143"/>
              <w:spacing w:after="0"/>
              <w:rPr>
                <w:sz w:val="20"/>
                <w:szCs w:val="20"/>
                <w:color w:val="auto"/>
              </w:rPr>
            </w:pPr>
            <w:r>
              <w:rPr>
                <w:rFonts w:ascii="Times New Roman" w:cs="Times New Roman" w:eastAsia="Times New Roman" w:hAnsi="Times New Roman"/>
                <w:sz w:val="12"/>
                <w:szCs w:val="12"/>
                <w:color w:val="0000FF"/>
              </w:rPr>
              <w:t>119.22</w:t>
            </w:r>
          </w:p>
        </w:tc>
        <w:tc>
          <w:tcPr>
            <w:tcW w:w="280" w:type="dxa"/>
            <w:vAlign w:val="bottom"/>
          </w:tcPr>
          <w:p>
            <w:pPr>
              <w:spacing w:after="0"/>
              <w:rPr>
                <w:sz w:val="6"/>
                <w:szCs w:val="6"/>
                <w:color w:val="auto"/>
              </w:rPr>
            </w:pPr>
          </w:p>
        </w:tc>
        <w:tc>
          <w:tcPr>
            <w:tcW w:w="7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0"/>
                <w:szCs w:val="10"/>
                <w:color w:val="008000"/>
              </w:rPr>
              <w:t>(1)</w:t>
            </w:r>
          </w:p>
        </w:tc>
        <w:tc>
          <w:tcPr>
            <w:tcW w:w="620" w:type="dxa"/>
            <w:vAlign w:val="bottom"/>
            <w:vMerge w:val="restart"/>
          </w:tcPr>
          <w:p>
            <w:pPr>
              <w:jc w:val="center"/>
              <w:ind w:right="6"/>
              <w:spacing w:after="0"/>
              <w:rPr>
                <w:sz w:val="20"/>
                <w:szCs w:val="20"/>
                <w:color w:val="auto"/>
              </w:rPr>
            </w:pPr>
            <w:r>
              <w:rPr>
                <w:rFonts w:ascii="Times New Roman" w:cs="Times New Roman" w:eastAsia="Times New Roman" w:hAnsi="Times New Roman"/>
                <w:sz w:val="10"/>
                <w:szCs w:val="10"/>
                <w:color w:val="008000"/>
              </w:rPr>
              <w:t>(3)</w:t>
            </w:r>
          </w:p>
        </w:tc>
        <w:tc>
          <w:tcPr>
            <w:tcW w:w="62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8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2"/>
                <w:szCs w:val="12"/>
                <w:color w:val="0000FF"/>
              </w:rPr>
              <w:t>10,010.795</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2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780" w:type="dxa"/>
            <w:vAlign w:val="bottom"/>
            <w:gridSpan w:val="2"/>
            <w:vMerge w:val="restart"/>
          </w:tcPr>
          <w:p>
            <w:pPr>
              <w:ind w:left="60"/>
              <w:spacing w:after="0" w:line="210" w:lineRule="exact"/>
              <w:rPr>
                <w:sz w:val="20"/>
                <w:szCs w:val="20"/>
                <w:color w:val="auto"/>
              </w:rPr>
            </w:pPr>
            <w:r>
              <w:rPr>
                <w:rFonts w:ascii="Times New Roman" w:cs="Times New Roman" w:eastAsia="Times New Roman" w:hAnsi="Times New Roman"/>
                <w:sz w:val="12"/>
                <w:szCs w:val="12"/>
                <w:color w:val="0000FF"/>
              </w:rPr>
              <w:t>Equivalent</w:t>
            </w:r>
            <w:r>
              <w:rPr>
                <w:rFonts w:ascii="Times New Roman" w:cs="Times New Roman" w:eastAsia="Times New Roman" w:hAnsi="Times New Roman"/>
                <w:sz w:val="20"/>
                <w:szCs w:val="20"/>
                <w:color w:val="008000"/>
                <w:vertAlign w:val="superscript"/>
              </w:rPr>
              <w:t>(1)</w:t>
            </w: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80" w:type="dxa"/>
            <w:vAlign w:val="bottom"/>
            <w:tcBorders>
              <w:bottom w:val="single" w:sz="8" w:color="2C2C2C"/>
            </w:tcBorders>
            <w:gridSpan w:val="2"/>
            <w:vMerge w:val="continue"/>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100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740" w:type="dxa"/>
            <w:vAlign w:val="bottom"/>
            <w:gridSpan w:val="2"/>
            <w:vMerge w:val="restart"/>
          </w:tcPr>
          <w:p>
            <w:pPr>
              <w:ind w:left="1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22.65</w:t>
            </w:r>
            <w:r>
              <w:rPr>
                <w:rFonts w:ascii="Times New Roman" w:cs="Times New Roman" w:eastAsia="Times New Roman" w:hAnsi="Times New Roman"/>
                <w:sz w:val="20"/>
                <w:szCs w:val="20"/>
                <w:color w:val="008000"/>
                <w:vertAlign w:val="superscript"/>
              </w:rPr>
              <w:t>(1)</w:t>
            </w: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rPr>
              <w:t>1,870.584</w:t>
            </w: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Share</w:t>
            </w:r>
          </w:p>
        </w:tc>
        <w:tc>
          <w:tcPr>
            <w:tcW w:w="740" w:type="dxa"/>
            <w:vAlign w:val="bottom"/>
            <w:gridSpan w:val="2"/>
            <w:vMerge w:val="continue"/>
          </w:tcPr>
          <w:p>
            <w:pPr>
              <w:spacing w:after="0"/>
              <w:rPr>
                <w:sz w:val="12"/>
                <w:szCs w:val="12"/>
                <w:color w:val="auto"/>
              </w:rPr>
            </w:pPr>
          </w:p>
        </w:tc>
        <w:tc>
          <w:tcPr>
            <w:tcW w:w="1000" w:type="dxa"/>
            <w:vAlign w:val="bottom"/>
          </w:tcPr>
          <w:p>
            <w:pPr>
              <w:jc w:val="right"/>
              <w:ind w:right="138"/>
              <w:spacing w:after="0"/>
              <w:rPr>
                <w:sz w:val="20"/>
                <w:szCs w:val="20"/>
                <w:color w:val="auto"/>
              </w:rPr>
            </w:pPr>
            <w:r>
              <w:rPr>
                <w:rFonts w:ascii="Times New Roman" w:cs="Times New Roman" w:eastAsia="Times New Roman" w:hAnsi="Times New Roman"/>
                <w:sz w:val="12"/>
                <w:szCs w:val="12"/>
                <w:color w:val="0000FF"/>
              </w:rPr>
              <w:t>06/30/2026</w:t>
            </w: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2"/>
                <w:szCs w:val="12"/>
                <w:color w:val="0000FF"/>
              </w:rPr>
              <w:t>A</w:t>
            </w:r>
          </w:p>
        </w:tc>
        <w:tc>
          <w:tcPr>
            <w:tcW w:w="700" w:type="dxa"/>
            <w:vAlign w:val="bottom"/>
          </w:tcPr>
          <w:p>
            <w:pPr>
              <w:jc w:val="right"/>
              <w:ind w:right="63"/>
              <w:spacing w:after="0"/>
              <w:rPr>
                <w:sz w:val="20"/>
                <w:szCs w:val="20"/>
                <w:color w:val="auto"/>
              </w:rPr>
            </w:pPr>
            <w:r>
              <w:rPr>
                <w:rFonts w:ascii="Times New Roman" w:cs="Times New Roman" w:eastAsia="Times New Roman" w:hAnsi="Times New Roman"/>
                <w:sz w:val="12"/>
                <w:szCs w:val="12"/>
                <w:color w:val="0000FF"/>
              </w:rPr>
              <w:t>1,870.584</w:t>
            </w:r>
          </w:p>
        </w:tc>
        <w:tc>
          <w:tcPr>
            <w:tcW w:w="280" w:type="dxa"/>
            <w:vAlign w:val="bottom"/>
          </w:tcPr>
          <w:p>
            <w:pPr>
              <w:spacing w:after="0"/>
              <w:rPr>
                <w:sz w:val="12"/>
                <w:szCs w:val="12"/>
                <w:color w:val="auto"/>
              </w:rPr>
            </w:pPr>
          </w:p>
        </w:tc>
        <w:tc>
          <w:tcPr>
            <w:tcW w:w="760" w:type="dxa"/>
            <w:vAlign w:val="bottom"/>
            <w:gridSpan w:val="2"/>
          </w:tcPr>
          <w:p>
            <w:pPr>
              <w:ind w:left="260"/>
              <w:spacing w:after="0"/>
              <w:rPr>
                <w:sz w:val="20"/>
                <w:szCs w:val="20"/>
                <w:color w:val="auto"/>
              </w:rPr>
            </w:pPr>
            <w:r>
              <w:rPr>
                <w:rFonts w:ascii="Times New Roman" w:cs="Times New Roman" w:eastAsia="Times New Roman" w:hAnsi="Times New Roman"/>
                <w:sz w:val="10"/>
                <w:szCs w:val="10"/>
                <w:color w:val="008000"/>
              </w:rPr>
              <w:t>(1)</w:t>
            </w:r>
          </w:p>
        </w:tc>
        <w:tc>
          <w:tcPr>
            <w:tcW w:w="620" w:type="dxa"/>
            <w:vAlign w:val="bottom"/>
          </w:tcPr>
          <w:p>
            <w:pPr>
              <w:jc w:val="center"/>
              <w:ind w:right="6"/>
              <w:spacing w:after="0"/>
              <w:rPr>
                <w:sz w:val="20"/>
                <w:szCs w:val="20"/>
                <w:color w:val="auto"/>
              </w:rPr>
            </w:pPr>
            <w:r>
              <w:rPr>
                <w:rFonts w:ascii="Times New Roman" w:cs="Times New Roman" w:eastAsia="Times New Roman" w:hAnsi="Times New Roman"/>
                <w:sz w:val="10"/>
                <w:szCs w:val="10"/>
                <w:color w:val="008000"/>
              </w:rPr>
              <w:t>(3)</w:t>
            </w:r>
          </w:p>
        </w:tc>
        <w:tc>
          <w:tcPr>
            <w:tcW w:w="6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jc w:val="center"/>
              <w:ind w:right="82"/>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31.14</w:t>
            </w:r>
          </w:p>
        </w:tc>
        <w:tc>
          <w:tcPr>
            <w:tcW w:w="88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0000FF"/>
              </w:rPr>
              <w:t>11,881.379</w:t>
            </w:r>
          </w:p>
        </w:tc>
        <w:tc>
          <w:tcPr>
            <w:tcW w:w="620" w:type="dxa"/>
            <w:vAlign w:val="bottom"/>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80" w:type="dxa"/>
            <w:vAlign w:val="bottom"/>
            <w:gridSpan w:val="2"/>
            <w:vMerge w:val="restart"/>
          </w:tcPr>
          <w:p>
            <w:pPr>
              <w:ind w:left="60"/>
              <w:spacing w:after="0" w:line="210" w:lineRule="exact"/>
              <w:rPr>
                <w:sz w:val="20"/>
                <w:szCs w:val="20"/>
                <w:color w:val="auto"/>
              </w:rPr>
            </w:pPr>
            <w:r>
              <w:rPr>
                <w:rFonts w:ascii="Times New Roman" w:cs="Times New Roman" w:eastAsia="Times New Roman" w:hAnsi="Times New Roman"/>
                <w:sz w:val="12"/>
                <w:szCs w:val="12"/>
                <w:color w:val="0000FF"/>
              </w:rPr>
              <w:t>Equivalent</w:t>
            </w:r>
            <w:r>
              <w:rPr>
                <w:rFonts w:ascii="Times New Roman" w:cs="Times New Roman" w:eastAsia="Times New Roman" w:hAnsi="Times New Roman"/>
                <w:sz w:val="20"/>
                <w:szCs w:val="20"/>
                <w:color w:val="008000"/>
                <w:vertAlign w:val="superscript"/>
              </w:rPr>
              <w:t>(1)</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160"/>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gridSpan w:val="2"/>
            <w:vMerge w:val="continue"/>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Borders>
              <w:bottom w:val="single" w:sz="8" w:color="2C2C2C"/>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-1983105</wp:posOffset>
            </wp:positionV>
            <wp:extent cx="28575" cy="19888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98882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7" w:lineRule="exact"/>
        <w:rPr>
          <w:sz w:val="24"/>
          <w:szCs w:val="24"/>
          <w:color w:val="auto"/>
        </w:rPr>
      </w:pPr>
    </w:p>
    <w:p>
      <w:pPr>
        <w:ind w:left="40" w:right="420" w:hanging="4"/>
        <w:spacing w:after="0" w:line="275" w:lineRule="auto"/>
        <w:tabs>
          <w:tab w:leader="none" w:pos="16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common share equivalents held pursuant to Directors Deferred Compensation Plan as of the date of this form. Each common share equivalent is the economic equivalent of one share of common stock. Common stock equivalents become payable upon the reporting persons termination of service as a director.</w:t>
      </w:r>
    </w:p>
    <w:p>
      <w:pPr>
        <w:spacing w:after="0" w:line="5" w:lineRule="exact"/>
        <w:rPr>
          <w:rFonts w:ascii="Times New Roman" w:cs="Times New Roman" w:eastAsia="Times New Roman" w:hAnsi="Times New Roman"/>
          <w:sz w:val="12"/>
          <w:szCs w:val="12"/>
          <w:color w:val="008000"/>
        </w:rPr>
      </w:pPr>
    </w:p>
    <w:p>
      <w:pPr>
        <w:ind w:left="40" w:right="320" w:hanging="4"/>
        <w:spacing w:after="0" w:line="255" w:lineRule="auto"/>
        <w:tabs>
          <w:tab w:leader="none" w:pos="16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common share equivalents acquired by the reporting person in the DDCP pursuant to the reinvestment of dividends received during the quarter on common share equivalents held in the DDCP by the reporting person at the time such dividend was paid on the underlying shares. Common share equivalents received for dividend reinvestments fully vested on the transaction date listed above and become payable upon termination of service as a director.</w:t>
      </w:r>
    </w:p>
    <w:p>
      <w:pPr>
        <w:spacing w:after="0" w:line="17" w:lineRule="exact"/>
        <w:rPr>
          <w:rFonts w:ascii="Times New Roman" w:cs="Times New Roman" w:eastAsia="Times New Roman" w:hAnsi="Times New Roman"/>
          <w:sz w:val="12"/>
          <w:szCs w:val="12"/>
          <w:color w:val="008000"/>
        </w:rPr>
      </w:pPr>
    </w:p>
    <w:p>
      <w:pPr>
        <w:ind w:left="160" w:hanging="124"/>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common stock equivalent is the economic equivalent of one share of common stock.</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15"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15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w w:val="97"/>
              </w:rPr>
              <w:t>/s/TRAVIS FRANKLIN</w:t>
            </w:r>
          </w:p>
        </w:tc>
        <w:tc>
          <w:tcPr>
            <w:tcW w:w="540" w:type="dxa"/>
            <w:vAlign w:val="bottom"/>
            <w:gridSpan w:val="2"/>
          </w:tcPr>
          <w:p>
            <w:pPr>
              <w:spacing w:after="0"/>
              <w:rPr>
                <w:sz w:val="16"/>
                <w:szCs w:val="16"/>
                <w:color w:val="auto"/>
              </w:rPr>
            </w:pPr>
          </w:p>
        </w:tc>
        <w:tc>
          <w:tcPr>
            <w:tcW w:w="8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w w:val="95"/>
              </w:rPr>
              <w:t>07/01/2026</w:t>
            </w:r>
          </w:p>
        </w:tc>
        <w:tc>
          <w:tcPr>
            <w:tcW w:w="0" w:type="dxa"/>
            <w:vAlign w:val="bottom"/>
          </w:tcPr>
          <w:p>
            <w:pPr>
              <w:spacing w:after="0"/>
              <w:rPr>
                <w:sz w:val="1"/>
                <w:szCs w:val="1"/>
                <w:color w:val="auto"/>
              </w:rPr>
            </w:pPr>
          </w:p>
        </w:tc>
      </w:tr>
      <w:tr>
        <w:trPr>
          <w:trHeight w:val="20"/>
        </w:trPr>
        <w:tc>
          <w:tcPr>
            <w:tcW w:w="4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0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0000FF"/>
                <w:w w:val="99"/>
              </w:rPr>
              <w:t>/s/Nathan D. Sturycz, attorney-</w:t>
            </w:r>
          </w:p>
        </w:tc>
        <w:tc>
          <w:tcPr>
            <w:tcW w:w="100" w:type="dxa"/>
            <w:vAlign w:val="bottom"/>
          </w:tcPr>
          <w:p>
            <w:pPr>
              <w:spacing w:after="0"/>
              <w:rPr>
                <w:sz w:val="19"/>
                <w:szCs w:val="19"/>
                <w:color w:val="auto"/>
              </w:rPr>
            </w:pPr>
          </w:p>
        </w:tc>
        <w:tc>
          <w:tcPr>
            <w:tcW w:w="8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w w:val="95"/>
              </w:rPr>
              <w:t>07/01/2026</w:t>
            </w:r>
          </w:p>
        </w:tc>
        <w:tc>
          <w:tcPr>
            <w:tcW w:w="0" w:type="dxa"/>
            <w:vAlign w:val="bottom"/>
          </w:tcPr>
          <w:p>
            <w:pPr>
              <w:spacing w:after="0"/>
              <w:rPr>
                <w:sz w:val="1"/>
                <w:szCs w:val="1"/>
                <w:color w:val="auto"/>
              </w:rPr>
            </w:pPr>
          </w:p>
        </w:tc>
      </w:tr>
      <w:tr>
        <w:trPr>
          <w:trHeight w:val="79"/>
        </w:trPr>
        <w:tc>
          <w:tcPr>
            <w:tcW w:w="420" w:type="dxa"/>
            <w:vAlign w:val="bottom"/>
            <w:vMerge w:val="restart"/>
          </w:tcPr>
          <w:p>
            <w:pPr>
              <w:spacing w:after="0" w:line="178" w:lineRule="exact"/>
              <w:rPr>
                <w:sz w:val="20"/>
                <w:szCs w:val="20"/>
                <w:color w:val="auto"/>
              </w:rPr>
            </w:pPr>
            <w:r>
              <w:rPr>
                <w:rFonts w:ascii="Times New Roman" w:cs="Times New Roman" w:eastAsia="Times New Roman" w:hAnsi="Times New Roman"/>
                <w:sz w:val="16"/>
                <w:szCs w:val="16"/>
                <w:color w:val="0000FF"/>
                <w:w w:val="95"/>
              </w:rPr>
              <w:t>in-fact</w:t>
            </w:r>
          </w:p>
        </w:tc>
        <w:tc>
          <w:tcPr>
            <w:tcW w:w="1680" w:type="dxa"/>
            <w:vAlign w:val="bottom"/>
            <w:gridSpan w:val="3"/>
            <w:vMerge w:val="restart"/>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4"/>
        </w:trPr>
        <w:tc>
          <w:tcPr>
            <w:tcW w:w="420" w:type="dxa"/>
            <w:vAlign w:val="bottom"/>
            <w:tcBorders>
              <w:bottom w:val="single" w:sz="8" w:color="auto"/>
            </w:tcBorders>
            <w:vMerge w:val="continue"/>
          </w:tcPr>
          <w:p>
            <w:pPr>
              <w:spacing w:after="0"/>
              <w:rPr>
                <w:sz w:val="6"/>
                <w:szCs w:val="6"/>
                <w:color w:val="auto"/>
              </w:rPr>
            </w:pPr>
          </w:p>
        </w:tc>
        <w:tc>
          <w:tcPr>
            <w:tcW w:w="168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8"/>
        </w:trPr>
        <w:tc>
          <w:tcPr>
            <w:tcW w:w="2100" w:type="dxa"/>
            <w:vAlign w:val="bottom"/>
            <w:gridSpan w:val="4"/>
          </w:tcPr>
          <w:p>
            <w:pPr>
              <w:spacing w:after="0"/>
              <w:rPr>
                <w:sz w:val="20"/>
                <w:szCs w:val="20"/>
                <w:color w:val="auto"/>
              </w:rPr>
            </w:pPr>
            <w:r>
              <w:rPr>
                <w:rFonts w:ascii="Arial" w:cs="Arial" w:eastAsia="Arial" w:hAnsi="Arial"/>
                <w:sz w:val="12"/>
                <w:szCs w:val="12"/>
                <w:color w:val="auto"/>
              </w:rPr>
              <w:t>** Signature of Reporting Person</w:t>
            </w:r>
          </w:p>
        </w:tc>
        <w:tc>
          <w:tcPr>
            <w:tcW w:w="820" w:type="dxa"/>
            <w:vAlign w:val="bottom"/>
            <w:gridSpan w:val="2"/>
          </w:tcPr>
          <w:p>
            <w:pPr>
              <w:ind w:left="100"/>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8" w:lineRule="exact"/>
        <w:rPr>
          <w:sz w:val="24"/>
          <w:szCs w:val="24"/>
          <w:color w:val="auto"/>
        </w:rPr>
      </w:pPr>
    </w:p>
    <w:p>
      <w:pPr>
        <w:jc w:val="both"/>
        <w:ind w:left="40" w:right="3900" w:hanging="4"/>
        <w:spacing w:after="0" w:line="322" w:lineRule="auto"/>
        <w:tabs>
          <w:tab w:leader="none" w:pos="171"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3" w:right="359" w:bottom="1440" w:gutter="0" w:footer="0" w:header="0"/>
          <w:type w:val="continuous"/>
        </w:sectPr>
      </w:pPr>
    </w:p>
    <w:bookmarkStart w:id="1" w:name="page2"/>
    <w:bookmarkEnd w:id="1"/>
    <w:p>
      <w:pPr>
        <w:ind w:left="1"/>
        <w:spacing w:after="0"/>
        <w:tabs>
          <w:tab w:leader="none" w:pos="1821" w:val="left"/>
        </w:tabs>
        <w:rPr>
          <w:sz w:val="20"/>
          <w:szCs w:val="20"/>
          <w:color w:val="auto"/>
        </w:rPr>
      </w:pPr>
      <w:r>
        <w:rPr>
          <w:rFonts w:ascii="Courier New" w:cs="Courier New" w:eastAsia="Courier New" w:hAnsi="Courier New"/>
          <w:sz w:val="16"/>
          <w:szCs w:val="16"/>
          <w:color w:val="auto"/>
        </w:rPr>
        <w:t>POWER OF ATTORNEY</w:t>
      </w:r>
      <w:r>
        <w:rPr>
          <w:sz w:val="20"/>
          <w:szCs w:val="20"/>
          <w:color w:val="auto"/>
        </w:rPr>
        <w:tab/>
      </w:r>
      <w:r>
        <w:rPr>
          <w:rFonts w:ascii="Courier New" w:cs="Courier New" w:eastAsia="Courier New" w:hAnsi="Courier New"/>
          <w:sz w:val="15"/>
          <w:szCs w:val="15"/>
          <w:color w:val="auto"/>
        </w:rPr>
        <w:t>SECTION 16 FILINGS</w:t>
      </w:r>
    </w:p>
    <w:p>
      <w:pPr>
        <w:spacing w:after="0" w:line="34" w:lineRule="exact"/>
        <w:rPr>
          <w:sz w:val="20"/>
          <w:szCs w:val="20"/>
          <w:color w:val="auto"/>
        </w:rPr>
      </w:pPr>
    </w:p>
    <w:p>
      <w:pPr>
        <w:ind w:left="1" w:right="2859"/>
        <w:spacing w:after="0" w:line="245"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Nathan D. Sturycz, Stephanie Gurgel, Summer Moorman, and their designees with full power and authority to act alone, as the undersigneds true and lawful attorney-in-fact to:</w:t>
      </w:r>
    </w:p>
    <w:p>
      <w:pPr>
        <w:spacing w:after="0" w:line="2" w:lineRule="exact"/>
        <w:rPr>
          <w:sz w:val="20"/>
          <w:szCs w:val="20"/>
          <w:color w:val="auto"/>
        </w:rPr>
      </w:pPr>
    </w:p>
    <w:p>
      <w:pPr>
        <w:ind w:left="1" w:right="2659" w:hanging="1"/>
        <w:spacing w:after="0" w:line="245" w:lineRule="auto"/>
        <w:tabs>
          <w:tab w:leader="none" w:pos="773"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prepare, execute for and on behalf of the undersigned, and submit to the United States Securities and Exchange Commission (the Commission) a Form ID, including amendments thereto, and any other documents necessary or appropriate to obtain codes and passwords enabling the undersigned to make electronic filings with the Commission of reports required by Section 16(a) of the Securities Exchange Act of 1934, as amended (the Exchange Act), or any rule or regulation of the Commission;</w:t>
      </w:r>
    </w:p>
    <w:p>
      <w:pPr>
        <w:spacing w:after="0" w:line="3" w:lineRule="exact"/>
        <w:rPr>
          <w:rFonts w:ascii="Courier New" w:cs="Courier New" w:eastAsia="Courier New" w:hAnsi="Courier New"/>
          <w:sz w:val="16"/>
          <w:szCs w:val="16"/>
          <w:color w:val="auto"/>
        </w:rPr>
      </w:pPr>
    </w:p>
    <w:p>
      <w:pPr>
        <w:ind w:left="781" w:hanging="781"/>
        <w:spacing w:after="0"/>
        <w:tabs>
          <w:tab w:leader="none" w:pos="78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act as account administrator and to manage the undersigneds EDGAR</w:t>
      </w:r>
    </w:p>
    <w:p>
      <w:pPr>
        <w:spacing w:after="0" w:line="4"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account;</w:t>
      </w:r>
    </w:p>
    <w:p>
      <w:pPr>
        <w:spacing w:after="0" w:line="4" w:lineRule="exact"/>
        <w:rPr>
          <w:rFonts w:ascii="Courier New" w:cs="Courier New" w:eastAsia="Courier New" w:hAnsi="Courier New"/>
          <w:sz w:val="16"/>
          <w:szCs w:val="16"/>
          <w:color w:val="auto"/>
        </w:rPr>
      </w:pPr>
    </w:p>
    <w:p>
      <w:pPr>
        <w:ind w:left="1" w:right="2759" w:hanging="1"/>
        <w:spacing w:after="0" w:line="245" w:lineRule="auto"/>
        <w:tabs>
          <w:tab w:leader="none" w:pos="773"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in the undersigneds capacity as a reporting person of Midland States Bancorp, Inc. (the Company), Forms 3, 4 and 5 in accordance with Section 16(a) of the Exchange Act and the rules thereunder, or Forms 144 pursuant to the Exchange Act;</w:t>
      </w:r>
    </w:p>
    <w:p>
      <w:pPr>
        <w:spacing w:after="0" w:line="1" w:lineRule="exact"/>
        <w:rPr>
          <w:rFonts w:ascii="Courier New" w:cs="Courier New" w:eastAsia="Courier New" w:hAnsi="Courier New"/>
          <w:sz w:val="16"/>
          <w:szCs w:val="16"/>
          <w:color w:val="auto"/>
        </w:rPr>
      </w:pPr>
    </w:p>
    <w:p>
      <w:pPr>
        <w:ind w:left="1" w:right="2659" w:hanging="1"/>
        <w:spacing w:after="0" w:line="245" w:lineRule="auto"/>
        <w:tabs>
          <w:tab w:leader="none" w:pos="773"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 and perform any and all acts for and on behalf of the undersigned which maybe necessary or desirable to complete and execute any such Form 3, 4, 5, or Form 144 including any amendment or amendments thereto and file such form with the Commission and the applicable stock exchange or similar authority;</w:t>
      </w:r>
    </w:p>
    <w:p>
      <w:pPr>
        <w:spacing w:after="0" w:line="2" w:lineRule="exact"/>
        <w:rPr>
          <w:rFonts w:ascii="Courier New" w:cs="Courier New" w:eastAsia="Courier New" w:hAnsi="Courier New"/>
          <w:sz w:val="16"/>
          <w:szCs w:val="16"/>
          <w:color w:val="auto"/>
        </w:rPr>
      </w:pPr>
    </w:p>
    <w:p>
      <w:pPr>
        <w:ind w:left="1" w:right="2759" w:hanging="1"/>
        <w:spacing w:after="0" w:line="245" w:lineRule="auto"/>
        <w:tabs>
          <w:tab w:leader="none" w:pos="869"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 information to the undersigneds attorney-in-fact appointed by this Power of Attorney and approves and ratifies any such release of information; and</w:t>
      </w:r>
    </w:p>
    <w:p>
      <w:pPr>
        <w:spacing w:after="0" w:line="3" w:lineRule="exact"/>
        <w:rPr>
          <w:rFonts w:ascii="Courier New" w:cs="Courier New" w:eastAsia="Courier New" w:hAnsi="Courier New"/>
          <w:sz w:val="16"/>
          <w:szCs w:val="16"/>
          <w:color w:val="auto"/>
        </w:rPr>
      </w:pPr>
    </w:p>
    <w:p>
      <w:pPr>
        <w:ind w:left="1" w:right="2759" w:hanging="1"/>
        <w:spacing w:after="0" w:line="245" w:lineRule="auto"/>
        <w:tabs>
          <w:tab w:leader="none" w:pos="773"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 of any of such attorney-in-fact, may be of benefit to, in the best interest of, or legally required by, the undersigned, it being understood that the documents executed by any of such attorney-in-fact on behalf of the undersigned pursuant to this Power of Attorney shall be in such form and shall contain such terms and conditions as any of such attorney-in-fact may approve in his or her discretion.</w:t>
      </w:r>
    </w:p>
    <w:p>
      <w:pPr>
        <w:spacing w:after="0" w:line="3" w:lineRule="exact"/>
        <w:rPr>
          <w:rFonts w:ascii="Courier New" w:cs="Courier New" w:eastAsia="Courier New" w:hAnsi="Courier New"/>
          <w:sz w:val="16"/>
          <w:szCs w:val="16"/>
          <w:color w:val="auto"/>
        </w:rPr>
      </w:pPr>
    </w:p>
    <w:p>
      <w:pPr>
        <w:ind w:left="1" w:right="2759"/>
        <w:spacing w:after="0" w:line="24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hereby grants to such attorney-in-fact full power and authority to act separately and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attorney-in-fact, or the substitute or substitutes of any of such attorney-in-fact, shall lawfully do or cause to be done by virtue of this Power of Attorney and the rights and powers herein granted. The undersigned acknowledges that the foregoing attorney-in-fact, in serving in such capacity at the request of the undersigned, are not assuming, nor is the Company assuming, any of the undersigneds responsibilities to comply with Section 16 of the Exchange Act.</w:t>
      </w:r>
    </w:p>
    <w:p>
      <w:pPr>
        <w:spacing w:after="0" w:line="6" w:lineRule="exact"/>
        <w:rPr>
          <w:rFonts w:ascii="Courier New" w:cs="Courier New" w:eastAsia="Courier New" w:hAnsi="Courier New"/>
          <w:sz w:val="16"/>
          <w:szCs w:val="16"/>
          <w:color w:val="auto"/>
        </w:rPr>
      </w:pPr>
    </w:p>
    <w:p>
      <w:pPr>
        <w:ind w:left="1" w:right="2859"/>
        <w:spacing w:after="0" w:line="24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attorney-in-fact.</w:t>
      </w:r>
    </w:p>
    <w:p>
      <w:pPr>
        <w:spacing w:after="0" w:line="2" w:lineRule="exact"/>
        <w:rPr>
          <w:rFonts w:ascii="Courier New" w:cs="Courier New" w:eastAsia="Courier New" w:hAnsi="Courier New"/>
          <w:sz w:val="16"/>
          <w:szCs w:val="16"/>
          <w:color w:val="auto"/>
        </w:rPr>
      </w:pPr>
    </w:p>
    <w:p>
      <w:pPr>
        <w:ind w:left="1" w:right="2759"/>
        <w:spacing w:after="0" w:line="26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agrees to hold the attorney-in-fact, or either one of them, jointly and severally, free and harmless from any and all loss, damage or liability that they, or either one of them, may sustain as a result of any action taken in good faith hereunder and not due to the attorney-in-facts own negligence, misconduct or bad faith.</w:t>
      </w:r>
    </w:p>
    <w:p>
      <w:pPr>
        <w:spacing w:after="0" w:line="82" w:lineRule="exact"/>
        <w:rPr>
          <w:sz w:val="20"/>
          <w:szCs w:val="20"/>
          <w:color w:val="auto"/>
        </w:rPr>
      </w:pPr>
    </w:p>
    <w:p>
      <w:pPr>
        <w:ind w:left="1" w:right="2759"/>
        <w:spacing w:after="0" w:line="365"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5th day of August, 2025.</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Signature:</w:t>
      </w:r>
    </w:p>
    <w:p>
      <w:pPr>
        <w:spacing w:after="0" w:line="34" w:lineRule="exact"/>
        <w:rPr>
          <w:sz w:val="20"/>
          <w:szCs w:val="20"/>
          <w:color w:val="auto"/>
        </w:rPr>
      </w:pPr>
    </w:p>
    <w:p>
      <w:pPr>
        <w:ind w:left="1"/>
        <w:spacing w:after="0"/>
        <w:tabs>
          <w:tab w:leader="none" w:pos="761"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6"/>
          <w:szCs w:val="16"/>
          <w:color w:val="auto"/>
        </w:rPr>
        <w:t>Travis Franklin</w:t>
      </w:r>
    </w:p>
    <w:sectPr>
      <w:pgSz w:w="11900" w:h="16838" w:orient="portrait"/>
      <w:cols w:equalWidth="0" w:num="1">
        <w:col w:w="10000"/>
      </w:cols>
      <w:pgMar w:left="459"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21449" TargetMode="External"/><Relationship Id="rId14" Type="http://schemas.openxmlformats.org/officeDocument/2006/relationships/hyperlink" Target="http://www.sec.gov/cgi-bin/browse-edgar?action=getcompany&amp;CIK=00014660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2026-07-01T11:29:32Z</dcterms:created>
  <dcterms:modified xsi:type="dcterms:W3CDTF">2026-07-01T11:29:32Z</dcterms:modified>
</cp:coreProperties>
</file>